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B0C1A" w:rsidRPr="00EB0C1A" w14:paraId="0FE05911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72DC7E25" w14:textId="77777777" w:rsidR="00EB0C1A" w:rsidRPr="00EB0C1A" w:rsidRDefault="00EB0C1A" w:rsidP="00EB0C1A"/>
        </w:tc>
      </w:tr>
      <w:tr w:rsidR="00EB0C1A" w:rsidRPr="00EB0C1A" w14:paraId="31972B58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2CC58BF6" w14:textId="633A011C" w:rsidR="00EB0C1A" w:rsidRPr="00EB0C1A" w:rsidRDefault="00EB0C1A" w:rsidP="00EB0C1A">
            <w:r w:rsidRPr="00EB0C1A">
              <w:rPr>
                <w:u w:val="single"/>
              </w:rPr>
              <w:drawing>
                <wp:inline distT="0" distB="0" distL="0" distR="0" wp14:anchorId="7BC0CA05" wp14:editId="05A3427A">
                  <wp:extent cx="2575560" cy="762000"/>
                  <wp:effectExtent l="0" t="0" r="0" b="0"/>
                  <wp:docPr id="504331114" name="Picture 18" descr="Neighbourhood Link Logo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Neighbourhood Lin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C1A" w:rsidRPr="00EB0C1A" w14:paraId="6D3C4357" w14:textId="7777777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F6693AE" w14:textId="77777777" w:rsidR="00EB0C1A" w:rsidRPr="00EB0C1A" w:rsidRDefault="00EB0C1A" w:rsidP="00EB0C1A">
            <w:r w:rsidRPr="00EB0C1A">
              <w:pict w14:anchorId="2E131AD4">
                <v:rect id="_x0000_i1077" style="width:468pt;height:1.2pt" o:hralign="center" o:hrstd="t" o:hrnoshade="t" o:hr="t" fillcolor="#28a745" stroked="f"/>
              </w:pict>
            </w:r>
          </w:p>
        </w:tc>
      </w:tr>
      <w:tr w:rsidR="00EB0C1A" w:rsidRPr="00EB0C1A" w14:paraId="6F11B68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B0C1A" w:rsidRPr="00EB0C1A" w14:paraId="2BFD591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EB0C1A" w:rsidRPr="00EB0C1A" w14:paraId="1D450A83" w14:textId="77777777">
                    <w:tc>
                      <w:tcPr>
                        <w:tcW w:w="2500" w:type="pct"/>
                        <w:vAlign w:val="center"/>
                        <w:hideMark/>
                      </w:tcPr>
                      <w:p w14:paraId="3BF0453C" w14:textId="693A7C2D" w:rsidR="00EB0C1A" w:rsidRPr="00EB0C1A" w:rsidRDefault="00EB0C1A" w:rsidP="00EB0C1A">
                        <w:r w:rsidRPr="00EB0C1A">
                          <w:rPr>
                            <w:u w:val="single"/>
                          </w:rPr>
                          <w:drawing>
                            <wp:inline distT="0" distB="0" distL="0" distR="0" wp14:anchorId="2DF90EE8" wp14:editId="1763C2F2">
                              <wp:extent cx="1417320" cy="762000"/>
                              <wp:effectExtent l="0" t="0" r="0" b="0"/>
                              <wp:docPr id="2045174136" name="Picture 17" descr="Message Type Icon">
                                <a:hlinkClick xmlns:a="http://schemas.openxmlformats.org/drawingml/2006/main" r:id="rId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 descr="Message Type 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732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14:paraId="0B9CE68B" w14:textId="4F2EDCFF" w:rsidR="00EB0C1A" w:rsidRPr="00EB0C1A" w:rsidRDefault="00EB0C1A" w:rsidP="00EB0C1A">
                        <w:r w:rsidRPr="00EB0C1A">
                          <w:rPr>
                            <w:u w:val="single"/>
                          </w:rPr>
                          <w:drawing>
                            <wp:inline distT="0" distB="0" distL="0" distR="0" wp14:anchorId="46BDB698" wp14:editId="4F9CD89D">
                              <wp:extent cx="2575560" cy="762000"/>
                              <wp:effectExtent l="0" t="0" r="0" b="0"/>
                              <wp:docPr id="558153175" name="Picture 16" descr="Office of the Police &amp; Crime Commissione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 descr="Office of the Police &amp; Crime Commission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556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CB0F6EA" w14:textId="77777777" w:rsidR="00EB0C1A" w:rsidRPr="00EB0C1A" w:rsidRDefault="00EB0C1A" w:rsidP="00EB0C1A"/>
              </w:tc>
            </w:tr>
          </w:tbl>
          <w:p w14:paraId="31504271" w14:textId="77777777" w:rsidR="00EB0C1A" w:rsidRPr="00EB0C1A" w:rsidRDefault="00EB0C1A" w:rsidP="00EB0C1A"/>
        </w:tc>
      </w:tr>
      <w:tr w:rsidR="00EB0C1A" w:rsidRPr="00EB0C1A" w14:paraId="7062A601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15942BD7" w14:textId="77777777" w:rsidR="00EB0C1A" w:rsidRPr="00EB0C1A" w:rsidRDefault="00EB0C1A" w:rsidP="00EB0C1A">
            <w:pPr>
              <w:rPr>
                <w:b/>
                <w:bCs/>
              </w:rPr>
            </w:pPr>
            <w:r w:rsidRPr="00EB0C1A">
              <w:rPr>
                <w:b/>
                <w:bCs/>
              </w:rPr>
              <w:t xml:space="preserve">Latest News from the Police and Crime Commissioner </w:t>
            </w:r>
          </w:p>
        </w:tc>
      </w:tr>
      <w:tr w:rsidR="00EB0C1A" w:rsidRPr="00EB0C1A" w14:paraId="42E2576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026"/>
            </w:tblGrid>
            <w:tr w:rsidR="00EB0C1A" w:rsidRPr="00EB0C1A" w14:paraId="7DBE2E4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875878" w14:textId="40BCFDD9" w:rsidR="00EB0C1A" w:rsidRPr="00EB0C1A" w:rsidRDefault="00EB0C1A" w:rsidP="00EB0C1A">
                  <w:r w:rsidRPr="00EB0C1A">
                    <w:drawing>
                      <wp:inline distT="0" distB="0" distL="0" distR="0" wp14:anchorId="7712B6AA" wp14:editId="2EC5602D">
                        <wp:extent cx="5715000" cy="1905000"/>
                        <wp:effectExtent l="0" t="0" r="0" b="0"/>
                        <wp:docPr id="332025299" name="Picture 15" descr="A blue and white sign with white text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2025299" name="Picture 15" descr="A blue and white sign with white text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A59C0D8" w14:textId="77777777" w:rsidR="00EB0C1A" w:rsidRPr="00EB0C1A" w:rsidRDefault="00EB0C1A" w:rsidP="00EB0C1A"/>
                <w:p w14:paraId="704802B8" w14:textId="77777777" w:rsidR="00EB0C1A" w:rsidRPr="00EB0C1A" w:rsidRDefault="00EB0C1A" w:rsidP="00EB0C1A">
                  <w:r w:rsidRPr="00EB0C1A">
                    <w:rPr>
                      <w:rFonts w:ascii="Cambria Math" w:hAnsi="Cambria Math" w:cs="Cambria Math"/>
                    </w:rPr>
                    <w:t>𝗘𝗮𝘀𝘁</w:t>
                  </w:r>
                  <w:r w:rsidRPr="00EB0C1A">
                    <w:t xml:space="preserve"> </w:t>
                  </w:r>
                  <w:r w:rsidRPr="00EB0C1A">
                    <w:rPr>
                      <w:rFonts w:ascii="Cambria Math" w:hAnsi="Cambria Math" w:cs="Cambria Math"/>
                    </w:rPr>
                    <w:t>𝗠𝗶𝗱𝗹𝗮𝗻𝗱𝘀</w:t>
                  </w:r>
                  <w:r w:rsidRPr="00EB0C1A">
                    <w:t xml:space="preserve"> </w:t>
                  </w:r>
                  <w:r w:rsidRPr="00EB0C1A">
                    <w:rPr>
                      <w:rFonts w:ascii="Cambria Math" w:hAnsi="Cambria Math" w:cs="Cambria Math"/>
                    </w:rPr>
                    <w:t>𝘂𝗻𝗶𝘁𝗲𝘀</w:t>
                  </w:r>
                  <w:r w:rsidRPr="00EB0C1A">
                    <w:t xml:space="preserve"> </w:t>
                  </w:r>
                  <w:r w:rsidRPr="00EB0C1A">
                    <w:rPr>
                      <w:rFonts w:ascii="Cambria Math" w:hAnsi="Cambria Math" w:cs="Cambria Math"/>
                    </w:rPr>
                    <w:t>𝘁𝗼</w:t>
                  </w:r>
                  <w:r w:rsidRPr="00EB0C1A">
                    <w:t xml:space="preserve"> </w:t>
                  </w:r>
                  <w:r w:rsidRPr="00EB0C1A">
                    <w:rPr>
                      <w:rFonts w:ascii="Cambria Math" w:hAnsi="Cambria Math" w:cs="Cambria Math"/>
                    </w:rPr>
                    <w:t>𝘀𝘁𝗼𝗽</w:t>
                  </w:r>
                  <w:r w:rsidRPr="00EB0C1A">
                    <w:t xml:space="preserve"> </w:t>
                  </w:r>
                  <w:r w:rsidRPr="00EB0C1A">
                    <w:rPr>
                      <w:rFonts w:ascii="Cambria Math" w:hAnsi="Cambria Math" w:cs="Cambria Math"/>
                    </w:rPr>
                    <w:t>𝘃𝗶𝗼𝗹𝗲𝗻𝗰𝗲</w:t>
                  </w:r>
                  <w:r w:rsidRPr="00EB0C1A">
                    <w:t xml:space="preserve"> </w:t>
                  </w:r>
                  <w:r w:rsidRPr="00EB0C1A">
                    <w:rPr>
                      <w:rFonts w:ascii="Cambria Math" w:hAnsi="Cambria Math" w:cs="Cambria Math"/>
                    </w:rPr>
                    <w:t>𝗮𝗴𝗮𝗶𝗻𝘀𝘁</w:t>
                  </w:r>
                  <w:r w:rsidRPr="00EB0C1A">
                    <w:t xml:space="preserve"> </w:t>
                  </w:r>
                  <w:r w:rsidRPr="00EB0C1A">
                    <w:rPr>
                      <w:rFonts w:ascii="Cambria Math" w:hAnsi="Cambria Math" w:cs="Cambria Math"/>
                    </w:rPr>
                    <w:t>𝘄𝗼𝗺𝗲𝗻</w:t>
                  </w:r>
                  <w:r w:rsidRPr="00EB0C1A">
                    <w:t xml:space="preserve"> </w:t>
                  </w:r>
                  <w:r w:rsidRPr="00EB0C1A">
                    <w:rPr>
                      <w:rFonts w:ascii="Cambria Math" w:hAnsi="Cambria Math" w:cs="Cambria Math"/>
                    </w:rPr>
                    <w:t>𝗮𝗻𝗱</w:t>
                  </w:r>
                  <w:r w:rsidRPr="00EB0C1A">
                    <w:t xml:space="preserve"> </w:t>
                  </w:r>
                  <w:r w:rsidRPr="00EB0C1A">
                    <w:rPr>
                      <w:rFonts w:ascii="Cambria Math" w:hAnsi="Cambria Math" w:cs="Cambria Math"/>
                    </w:rPr>
                    <w:t>𝗴𝗶𝗿𝗹𝘀</w:t>
                  </w:r>
                </w:p>
                <w:p w14:paraId="159D4E66" w14:textId="77777777" w:rsidR="00EB0C1A" w:rsidRPr="00EB0C1A" w:rsidRDefault="00EB0C1A" w:rsidP="00EB0C1A">
                  <w:r w:rsidRPr="00EB0C1A">
                    <w:t> </w:t>
                  </w:r>
                </w:p>
                <w:p w14:paraId="4ED554C7" w14:textId="77777777" w:rsidR="00EB0C1A" w:rsidRPr="00EB0C1A" w:rsidRDefault="00EB0C1A" w:rsidP="00EB0C1A">
                  <w:r w:rsidRPr="00EB0C1A">
                    <w:t>Hundreds of people from across the East Midlands came together in Nottingham this week to back a powerful regional drive to prevent violence against women and girls (VAWG).</w:t>
                  </w:r>
                </w:p>
                <w:p w14:paraId="69223932" w14:textId="77777777" w:rsidR="00EB0C1A" w:rsidRPr="00EB0C1A" w:rsidRDefault="00EB0C1A" w:rsidP="00EB0C1A">
                  <w:r w:rsidRPr="00EB0C1A">
                    <w:t> </w:t>
                  </w:r>
                </w:p>
                <w:p w14:paraId="60F92A60" w14:textId="77777777" w:rsidR="00EB0C1A" w:rsidRPr="00EB0C1A" w:rsidRDefault="00EB0C1A" w:rsidP="00EB0C1A">
                  <w:r w:rsidRPr="00EB0C1A">
                    <w:t xml:space="preserve">Police and Crime Commissioners (PCCs) and Deputy PCCs from across the region joined survivors, charities, health leaders, educators, and frontline officers at </w:t>
                  </w:r>
                  <w:proofErr w:type="spellStart"/>
                  <w:r w:rsidRPr="00EB0C1A">
                    <w:t>Goosedale</w:t>
                  </w:r>
                  <w:proofErr w:type="spellEnd"/>
                  <w:r w:rsidRPr="00EB0C1A">
                    <w:t xml:space="preserve"> in Papplewick, for the first ever East Midlands VAWG Conference, hosted by Nottinghamshire PCC Gary Godden and Deputy PCC Angela Kandola.</w:t>
                  </w:r>
                </w:p>
                <w:p w14:paraId="51DB7E57" w14:textId="77777777" w:rsidR="00EB0C1A" w:rsidRPr="00EB0C1A" w:rsidRDefault="00EB0C1A" w:rsidP="00EB0C1A">
                  <w:r w:rsidRPr="00EB0C1A">
                    <w:t> </w:t>
                  </w:r>
                </w:p>
                <w:p w14:paraId="6C8AA4CC" w14:textId="77777777" w:rsidR="00EB0C1A" w:rsidRPr="00EB0C1A" w:rsidRDefault="00EB0C1A" w:rsidP="00EB0C1A">
                  <w:r w:rsidRPr="00EB0C1A">
                    <w:t>At the heart of the day was a clear and urgent message: prevention must be central to the region’s response to VAWG.</w:t>
                  </w:r>
                </w:p>
                <w:p w14:paraId="1DE1141B" w14:textId="77777777" w:rsidR="00EB0C1A" w:rsidRPr="00EB0C1A" w:rsidRDefault="00EB0C1A" w:rsidP="00EB0C1A">
                  <w:r w:rsidRPr="00EB0C1A">
                    <w:t> </w:t>
                  </w:r>
                </w:p>
                <w:p w14:paraId="5ECD1C29" w14:textId="77777777" w:rsidR="00EB0C1A" w:rsidRPr="00EB0C1A" w:rsidRDefault="00EB0C1A" w:rsidP="00EB0C1A">
                  <w:r w:rsidRPr="00EB0C1A">
                    <w:t>Read the full article via the link: </w:t>
                  </w:r>
                  <w:r w:rsidRPr="00EB0C1A">
                    <w:br/>
                  </w:r>
                  <w:hyperlink r:id="rId10" w:history="1">
                    <w:r w:rsidRPr="00EB0C1A">
                      <w:rPr>
                        <w:rStyle w:val="Hyperlink"/>
                      </w:rPr>
                      <w:t>https://www.leics.pcc.police.uk/News-and-Events/News-Archive/2025/PR-964.aspx</w:t>
                    </w:r>
                  </w:hyperlink>
                </w:p>
              </w:tc>
            </w:tr>
          </w:tbl>
          <w:p w14:paraId="040159E5" w14:textId="5E518A04" w:rsidR="00EB0C1A" w:rsidRPr="00EB0C1A" w:rsidRDefault="00EB0C1A" w:rsidP="00EB0C1A">
            <w:r w:rsidRPr="00EB0C1A">
              <w:drawing>
                <wp:inline distT="0" distB="0" distL="0" distR="0" wp14:anchorId="23F6829C" wp14:editId="684C9DE0">
                  <wp:extent cx="7620" cy="7620"/>
                  <wp:effectExtent l="0" t="0" r="0" b="0"/>
                  <wp:docPr id="37686284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0C1A">
              <w:t xml:space="preserve">  </w:t>
            </w:r>
          </w:p>
        </w:tc>
      </w:tr>
      <w:tr w:rsidR="00EB0C1A" w:rsidRPr="00EB0C1A" w14:paraId="793F09E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80"/>
              <w:gridCol w:w="2880"/>
              <w:gridCol w:w="180"/>
              <w:gridCol w:w="2880"/>
            </w:tblGrid>
            <w:tr w:rsidR="00EB0C1A" w:rsidRPr="00EB0C1A" w14:paraId="3F00A052" w14:textId="77777777">
              <w:trPr>
                <w:tblCellSpacing w:w="0" w:type="dxa"/>
              </w:trPr>
              <w:tc>
                <w:tcPr>
                  <w:tcW w:w="1600" w:type="pct"/>
                  <w:vAlign w:val="center"/>
                  <w:hideMark/>
                </w:tcPr>
                <w:p w14:paraId="00408AAD" w14:textId="331E5936" w:rsidR="00EB0C1A" w:rsidRPr="00EB0C1A" w:rsidRDefault="00EB0C1A" w:rsidP="00EB0C1A">
                  <w:r w:rsidRPr="00EB0C1A">
                    <w:rPr>
                      <w:u w:val="single"/>
                    </w:rPr>
                    <w:drawing>
                      <wp:inline distT="0" distB="0" distL="0" distR="0" wp14:anchorId="42FD4F0C" wp14:editId="3D2442AA">
                        <wp:extent cx="1813560" cy="388620"/>
                        <wp:effectExtent l="0" t="0" r="0" b="0"/>
                        <wp:docPr id="705762619" name="Picture 13" descr="Reply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Rep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356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4714CA6A" w14:textId="77777777" w:rsidR="00EB0C1A" w:rsidRPr="00EB0C1A" w:rsidRDefault="00EB0C1A" w:rsidP="00EB0C1A"/>
              </w:tc>
              <w:tc>
                <w:tcPr>
                  <w:tcW w:w="1600" w:type="pct"/>
                  <w:vAlign w:val="center"/>
                  <w:hideMark/>
                </w:tcPr>
                <w:p w14:paraId="03A62DDD" w14:textId="3D900D31" w:rsidR="00EB0C1A" w:rsidRPr="00EB0C1A" w:rsidRDefault="00EB0C1A" w:rsidP="00EB0C1A">
                  <w:r w:rsidRPr="00EB0C1A">
                    <w:rPr>
                      <w:u w:val="single"/>
                    </w:rPr>
                    <w:drawing>
                      <wp:inline distT="0" distB="0" distL="0" distR="0" wp14:anchorId="0ACE57EE" wp14:editId="043698C9">
                        <wp:extent cx="1813560" cy="388620"/>
                        <wp:effectExtent l="0" t="0" r="0" b="0"/>
                        <wp:docPr id="14894876" name="Picture 12" descr="Share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Sh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356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193A219F" w14:textId="77777777" w:rsidR="00EB0C1A" w:rsidRPr="00EB0C1A" w:rsidRDefault="00EB0C1A" w:rsidP="00EB0C1A"/>
              </w:tc>
              <w:tc>
                <w:tcPr>
                  <w:tcW w:w="1600" w:type="pct"/>
                  <w:vAlign w:val="center"/>
                  <w:hideMark/>
                </w:tcPr>
                <w:p w14:paraId="66289C4A" w14:textId="55EFC190" w:rsidR="00EB0C1A" w:rsidRPr="00EB0C1A" w:rsidRDefault="00EB0C1A" w:rsidP="00EB0C1A">
                  <w:r w:rsidRPr="00EB0C1A">
                    <w:rPr>
                      <w:u w:val="single"/>
                    </w:rPr>
                    <w:drawing>
                      <wp:inline distT="0" distB="0" distL="0" distR="0" wp14:anchorId="290FED66" wp14:editId="7C2FEEF9">
                        <wp:extent cx="1813560" cy="388620"/>
                        <wp:effectExtent l="0" t="0" r="0" b="0"/>
                        <wp:docPr id="303629194" name="Picture 11" descr="Rate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Ra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356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61330AD" w14:textId="77777777" w:rsidR="00EB0C1A" w:rsidRPr="00EB0C1A" w:rsidRDefault="00EB0C1A" w:rsidP="00EB0C1A"/>
        </w:tc>
      </w:tr>
      <w:tr w:rsidR="00EB0C1A" w:rsidRPr="00EB0C1A" w14:paraId="493D0430" w14:textId="77777777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317"/>
              <w:gridCol w:w="7709"/>
            </w:tblGrid>
            <w:tr w:rsidR="00EB0C1A" w:rsidRPr="00EB0C1A" w14:paraId="35EF73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6ADCF3" w14:textId="515066A4" w:rsidR="00EB0C1A" w:rsidRPr="00EB0C1A" w:rsidRDefault="00EB0C1A" w:rsidP="00EB0C1A">
                  <w:r w:rsidRPr="00EB0C1A">
                    <w:drawing>
                      <wp:inline distT="0" distB="0" distL="0" distR="0" wp14:anchorId="631334C6" wp14:editId="65076D18">
                        <wp:extent cx="762000" cy="762000"/>
                        <wp:effectExtent l="0" t="0" r="0" b="0"/>
                        <wp:docPr id="1273139061" name="Picture 10" descr="A black silhouette of a person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3139061" name="Picture 10" descr="A black silhouette of a person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B1272" w14:textId="77777777" w:rsidR="00EB0C1A" w:rsidRPr="00EB0C1A" w:rsidRDefault="00EB0C1A" w:rsidP="00EB0C1A">
                  <w:r w:rsidRPr="00EB0C1A">
                    <w:rPr>
                      <w:b/>
                      <w:bCs/>
                    </w:rPr>
                    <w:t>Message Sent By</w:t>
                  </w:r>
                  <w:r w:rsidRPr="00EB0C1A">
                    <w:br/>
                    <w:t>Thomas Clarke</w:t>
                  </w:r>
                  <w:r w:rsidRPr="00EB0C1A">
                    <w:br/>
                    <w:t>(Office of the Police and Crime Commissioner for Leicester, Leicestershire and Rutland, Communications and Engagement Officer, Leicester, Leicestershire and Rutland)</w:t>
                  </w:r>
                </w:p>
              </w:tc>
            </w:tr>
          </w:tbl>
          <w:p w14:paraId="3E39C4BB" w14:textId="77777777" w:rsidR="00EB0C1A" w:rsidRPr="00EB0C1A" w:rsidRDefault="00EB0C1A" w:rsidP="00EB0C1A"/>
        </w:tc>
      </w:tr>
    </w:tbl>
    <w:p w14:paraId="33E7F778" w14:textId="77777777" w:rsidR="00C57660" w:rsidRDefault="00C57660"/>
    <w:sectPr w:rsidR="00C57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1A"/>
    <w:rsid w:val="001F6461"/>
    <w:rsid w:val="00A46E02"/>
    <w:rsid w:val="00A53816"/>
    <w:rsid w:val="00C57660"/>
    <w:rsid w:val="00EB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D6A2C"/>
  <w15:chartTrackingRefBased/>
  <w15:docId w15:val="{7A0271BA-B96E-4D46-88F5-BE141FBE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C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C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C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C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C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C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C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C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0C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members.neighbourhoodlink.co.uk/AlertMessage/RepliesToMessage/A52CB2DE42DBBF72DD83283B982EB2BF" TargetMode="External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hyperlink" Target="https://members.neighbourhoodlink.co.uk/AlertMessage/RateMessage/A52CB2DE42DBBF72DD83283B982EB2B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mbers.neighbourhoodlink.co.uk/YourDetails/YourMessagingConfig/A52CB2DE42DBBF72DD83283B982EB2BF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s://s-url.co/G1wmAA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neighbourhoodlink.co.uk/" TargetMode="External"/><Relationship Id="rId9" Type="http://schemas.openxmlformats.org/officeDocument/2006/relationships/image" Target="media/image4.jpeg"/><Relationship Id="rId14" Type="http://schemas.openxmlformats.org/officeDocument/2006/relationships/hyperlink" Target="https://members.neighbourhoodlink.co.uk/AlertMessage/ShareMessageToSocialMedia/A52CB2DE42DBBF72DD83283B982EB2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875</Characters>
  <Application>Microsoft Office Word</Application>
  <DocSecurity>0</DocSecurity>
  <Lines>39</Lines>
  <Paragraphs>7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 Muxloe Parish Council</dc:creator>
  <cp:keywords/>
  <dc:description/>
  <cp:lastModifiedBy>Kirby Muxloe Parish Council</cp:lastModifiedBy>
  <cp:revision>2</cp:revision>
  <dcterms:created xsi:type="dcterms:W3CDTF">2025-10-14T08:01:00Z</dcterms:created>
  <dcterms:modified xsi:type="dcterms:W3CDTF">2025-10-14T08:02:00Z</dcterms:modified>
</cp:coreProperties>
</file>