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6670C1" w:rsidRPr="006670C1" w14:paraId="5FEE55C6" w14:textId="77777777">
        <w:trPr>
          <w:jc w:val="center"/>
        </w:trPr>
        <w:tc>
          <w:tcPr>
            <w:tcW w:w="0" w:type="auto"/>
            <w:vAlign w:val="center"/>
            <w:hideMark/>
          </w:tcPr>
          <w:p w14:paraId="30199177" w14:textId="77777777" w:rsidR="006670C1" w:rsidRPr="006670C1" w:rsidRDefault="006670C1" w:rsidP="006670C1"/>
        </w:tc>
      </w:tr>
      <w:tr w:rsidR="006670C1" w:rsidRPr="006670C1" w14:paraId="7E476230" w14:textId="77777777">
        <w:trPr>
          <w:jc w:val="center"/>
        </w:trPr>
        <w:tc>
          <w:tcPr>
            <w:tcW w:w="0" w:type="auto"/>
            <w:vAlign w:val="center"/>
            <w:hideMark/>
          </w:tcPr>
          <w:p w14:paraId="555D7B13" w14:textId="78D3C0FD" w:rsidR="006670C1" w:rsidRPr="006670C1" w:rsidRDefault="006670C1" w:rsidP="006670C1">
            <w:r w:rsidRPr="006670C1">
              <w:rPr>
                <w:u w:val="single"/>
              </w:rPr>
              <w:drawing>
                <wp:inline distT="0" distB="0" distL="0" distR="0" wp14:anchorId="0F68CB38" wp14:editId="68F7786C">
                  <wp:extent cx="2575560" cy="762000"/>
                  <wp:effectExtent l="0" t="0" r="0" b="0"/>
                  <wp:docPr id="525071543" name="Picture 18" descr="Neighbourhood Link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ighbourhood Lin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r w:rsidR="006670C1" w:rsidRPr="006670C1" w14:paraId="67720C65" w14:textId="77777777">
        <w:trPr>
          <w:jc w:val="center"/>
        </w:trPr>
        <w:tc>
          <w:tcPr>
            <w:tcW w:w="0" w:type="auto"/>
            <w:tcMar>
              <w:top w:w="150" w:type="dxa"/>
              <w:left w:w="0" w:type="dxa"/>
              <w:bottom w:w="150" w:type="dxa"/>
              <w:right w:w="0" w:type="dxa"/>
            </w:tcMar>
            <w:vAlign w:val="center"/>
            <w:hideMark/>
          </w:tcPr>
          <w:p w14:paraId="138EC6EC" w14:textId="77777777" w:rsidR="006670C1" w:rsidRPr="006670C1" w:rsidRDefault="006670C1" w:rsidP="006670C1">
            <w:r w:rsidRPr="006670C1">
              <w:pict w14:anchorId="4248D6D2">
                <v:rect id="_x0000_i1083" style="width:468pt;height:1.2pt" o:hralign="center" o:hrstd="t" o:hrnoshade="t" o:hr="t" fillcolor="#28a745" stroked="f"/>
              </w:pict>
            </w:r>
          </w:p>
        </w:tc>
      </w:tr>
      <w:tr w:rsidR="006670C1" w:rsidRPr="006670C1" w14:paraId="5FD2A94D"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70C1" w:rsidRPr="006670C1" w14:paraId="4C52E188"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6670C1" w:rsidRPr="006670C1" w14:paraId="10C28B58" w14:textId="77777777">
                    <w:tc>
                      <w:tcPr>
                        <w:tcW w:w="2500" w:type="pct"/>
                        <w:vAlign w:val="center"/>
                        <w:hideMark/>
                      </w:tcPr>
                      <w:p w14:paraId="1D527588" w14:textId="10F2CCF1" w:rsidR="006670C1" w:rsidRPr="006670C1" w:rsidRDefault="006670C1" w:rsidP="006670C1">
                        <w:r w:rsidRPr="006670C1">
                          <w:rPr>
                            <w:u w:val="single"/>
                          </w:rPr>
                          <w:drawing>
                            <wp:inline distT="0" distB="0" distL="0" distR="0" wp14:anchorId="7F6607F5" wp14:editId="7B44941B">
                              <wp:extent cx="1417320" cy="762000"/>
                              <wp:effectExtent l="0" t="0" r="0" b="0"/>
                              <wp:docPr id="1476287325" name="Picture 17"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c>
                      <w:tcPr>
                        <w:tcW w:w="2500" w:type="pct"/>
                        <w:vAlign w:val="center"/>
                        <w:hideMark/>
                      </w:tcPr>
                      <w:p w14:paraId="7F739907" w14:textId="2F7770EF" w:rsidR="006670C1" w:rsidRPr="006670C1" w:rsidRDefault="006670C1" w:rsidP="006670C1">
                        <w:r w:rsidRPr="006670C1">
                          <w:rPr>
                            <w:u w:val="single"/>
                          </w:rPr>
                          <w:drawing>
                            <wp:inline distT="0" distB="0" distL="0" distR="0" wp14:anchorId="084C41C3" wp14:editId="4030E96A">
                              <wp:extent cx="2575560" cy="762000"/>
                              <wp:effectExtent l="0" t="0" r="0" b="0"/>
                              <wp:docPr id="901732003" name="Picture 16" descr="Office of the Police &amp;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ffice of the Police &amp; Crime Commissio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bl>
                <w:p w14:paraId="126874BB" w14:textId="77777777" w:rsidR="006670C1" w:rsidRPr="006670C1" w:rsidRDefault="006670C1" w:rsidP="006670C1"/>
              </w:tc>
            </w:tr>
          </w:tbl>
          <w:p w14:paraId="22A2EFB5" w14:textId="77777777" w:rsidR="006670C1" w:rsidRPr="006670C1" w:rsidRDefault="006670C1" w:rsidP="006670C1"/>
        </w:tc>
      </w:tr>
      <w:tr w:rsidR="006670C1" w:rsidRPr="006670C1" w14:paraId="6D3E95B6" w14:textId="77777777">
        <w:trPr>
          <w:jc w:val="center"/>
        </w:trPr>
        <w:tc>
          <w:tcPr>
            <w:tcW w:w="0" w:type="auto"/>
            <w:vAlign w:val="center"/>
            <w:hideMark/>
          </w:tcPr>
          <w:p w14:paraId="2FB5D1CE" w14:textId="77777777" w:rsidR="006670C1" w:rsidRPr="006670C1" w:rsidRDefault="006670C1" w:rsidP="006670C1">
            <w:pPr>
              <w:rPr>
                <w:b/>
                <w:bCs/>
              </w:rPr>
            </w:pPr>
            <w:r w:rsidRPr="006670C1">
              <w:rPr>
                <w:b/>
                <w:bCs/>
              </w:rPr>
              <w:t xml:space="preserve">Latest News from the Police and Crime Commissioner </w:t>
            </w:r>
          </w:p>
        </w:tc>
      </w:tr>
      <w:tr w:rsidR="006670C1" w:rsidRPr="006670C1" w14:paraId="7555588F"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026"/>
            </w:tblGrid>
            <w:tr w:rsidR="006670C1" w:rsidRPr="006670C1" w14:paraId="0114BC0A" w14:textId="77777777">
              <w:trPr>
                <w:tblCellSpacing w:w="15" w:type="dxa"/>
              </w:trPr>
              <w:tc>
                <w:tcPr>
                  <w:tcW w:w="0" w:type="auto"/>
                  <w:tcMar>
                    <w:top w:w="15" w:type="dxa"/>
                    <w:left w:w="15" w:type="dxa"/>
                    <w:bottom w:w="15" w:type="dxa"/>
                    <w:right w:w="15" w:type="dxa"/>
                  </w:tcMar>
                  <w:vAlign w:val="center"/>
                </w:tcPr>
                <w:p w14:paraId="15026B12" w14:textId="142AED4F" w:rsidR="006670C1" w:rsidRPr="006670C1" w:rsidRDefault="006670C1" w:rsidP="006670C1">
                  <w:r w:rsidRPr="006670C1">
                    <w:drawing>
                      <wp:inline distT="0" distB="0" distL="0" distR="0" wp14:anchorId="70837DC6" wp14:editId="2BD7E2F7">
                        <wp:extent cx="5715000" cy="1905000"/>
                        <wp:effectExtent l="0" t="0" r="0" b="0"/>
                        <wp:docPr id="19052735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18D24012" w14:textId="77777777" w:rsidR="006670C1" w:rsidRPr="006670C1" w:rsidRDefault="006670C1" w:rsidP="006670C1"/>
                <w:p w14:paraId="54F0C4A9" w14:textId="77777777" w:rsidR="006670C1" w:rsidRPr="006670C1" w:rsidRDefault="006670C1" w:rsidP="006670C1">
                  <w:r w:rsidRPr="006670C1">
                    <w:rPr>
                      <w:rFonts w:ascii="Cambria Math" w:hAnsi="Cambria Math" w:cs="Cambria Math"/>
                    </w:rPr>
                    <w:t>𝗣𝗖𝗖</w:t>
                  </w:r>
                  <w:r w:rsidRPr="006670C1">
                    <w:t xml:space="preserve"> </w:t>
                  </w:r>
                  <w:r w:rsidRPr="006670C1">
                    <w:rPr>
                      <w:rFonts w:ascii="Cambria Math" w:hAnsi="Cambria Math" w:cs="Cambria Math"/>
                    </w:rPr>
                    <w:t>𝗮𝘀𝗸𝘀</w:t>
                  </w:r>
                  <w:r w:rsidRPr="006670C1">
                    <w:t xml:space="preserve"> </w:t>
                  </w:r>
                  <w:r w:rsidRPr="006670C1">
                    <w:rPr>
                      <w:rFonts w:ascii="Cambria Math" w:hAnsi="Cambria Math" w:cs="Cambria Math"/>
                    </w:rPr>
                    <w:t>𝗽𝘂𝗯𝗹𝗶𝗰</w:t>
                  </w:r>
                  <w:r w:rsidRPr="006670C1">
                    <w:t xml:space="preserve"> </w:t>
                  </w:r>
                  <w:r w:rsidRPr="006670C1">
                    <w:rPr>
                      <w:rFonts w:ascii="Cambria Math" w:hAnsi="Cambria Math" w:cs="Cambria Math"/>
                    </w:rPr>
                    <w:t>𝘁𝗼</w:t>
                  </w:r>
                  <w:r w:rsidRPr="006670C1">
                    <w:t xml:space="preserve"> </w:t>
                  </w:r>
                  <w:r w:rsidRPr="006670C1">
                    <w:rPr>
                      <w:rFonts w:ascii="Cambria Math" w:hAnsi="Cambria Math" w:cs="Cambria Math"/>
                    </w:rPr>
                    <w:t>𝗵𝗲𝗹𝗽</w:t>
                  </w:r>
                  <w:r w:rsidRPr="006670C1">
                    <w:t xml:space="preserve"> </w:t>
                  </w:r>
                  <w:r w:rsidRPr="006670C1">
                    <w:rPr>
                      <w:rFonts w:ascii="Cambria Math" w:hAnsi="Cambria Math" w:cs="Cambria Math"/>
                    </w:rPr>
                    <w:t>𝗵𝗶𝗺</w:t>
                  </w:r>
                  <w:r w:rsidRPr="006670C1">
                    <w:t xml:space="preserve"> </w:t>
                  </w:r>
                  <w:r w:rsidRPr="006670C1">
                    <w:rPr>
                      <w:rFonts w:ascii="Cambria Math" w:hAnsi="Cambria Math" w:cs="Cambria Math"/>
                    </w:rPr>
                    <w:t>𝗽𝗹𝗮𝗻</w:t>
                  </w:r>
                  <w:r w:rsidRPr="006670C1">
                    <w:t xml:space="preserve"> </w:t>
                  </w:r>
                  <w:r w:rsidRPr="006670C1">
                    <w:rPr>
                      <w:rFonts w:ascii="Cambria Math" w:hAnsi="Cambria Math" w:cs="Cambria Math"/>
                    </w:rPr>
                    <w:t>𝗮</w:t>
                  </w:r>
                  <w:r w:rsidRPr="006670C1">
                    <w:t xml:space="preserve"> </w:t>
                  </w:r>
                  <w:r w:rsidRPr="006670C1">
                    <w:rPr>
                      <w:rFonts w:ascii="Cambria Math" w:hAnsi="Cambria Math" w:cs="Cambria Math"/>
                    </w:rPr>
                    <w:t>𝗽𝗿𝗮𝗴𝗺𝗮𝘁𝗶𝗰</w:t>
                  </w:r>
                  <w:r w:rsidRPr="006670C1">
                    <w:t xml:space="preserve"> </w:t>
                  </w:r>
                  <w:r w:rsidRPr="006670C1">
                    <w:rPr>
                      <w:rFonts w:ascii="Cambria Math" w:hAnsi="Cambria Math" w:cs="Cambria Math"/>
                    </w:rPr>
                    <w:t>𝗯𝘂𝗱𝗴𝗲𝘁</w:t>
                  </w:r>
                  <w:r w:rsidRPr="006670C1">
                    <w:t xml:space="preserve"> </w:t>
                  </w:r>
                  <w:r w:rsidRPr="006670C1">
                    <w:rPr>
                      <w:rFonts w:ascii="Cambria Math" w:hAnsi="Cambria Math" w:cs="Cambria Math"/>
                    </w:rPr>
                    <w:t>𝗳𝗼𝗿</w:t>
                  </w:r>
                  <w:r w:rsidRPr="006670C1">
                    <w:t xml:space="preserve"> </w:t>
                  </w:r>
                  <w:r w:rsidRPr="006670C1">
                    <w:rPr>
                      <w:rFonts w:ascii="Cambria Math" w:hAnsi="Cambria Math" w:cs="Cambria Math"/>
                    </w:rPr>
                    <w:t>𝟮𝟬𝟮𝟲</w:t>
                  </w:r>
                  <w:r w:rsidRPr="006670C1">
                    <w:t>-</w:t>
                  </w:r>
                  <w:r w:rsidRPr="006670C1">
                    <w:rPr>
                      <w:rFonts w:ascii="Cambria Math" w:hAnsi="Cambria Math" w:cs="Cambria Math"/>
                    </w:rPr>
                    <w:t>𝟮𝟳</w:t>
                  </w:r>
                  <w:r w:rsidRPr="006670C1">
                    <w:t> </w:t>
                  </w:r>
                </w:p>
                <w:p w14:paraId="33B5643B" w14:textId="77777777" w:rsidR="006670C1" w:rsidRPr="006670C1" w:rsidRDefault="006670C1" w:rsidP="006670C1">
                  <w:r w:rsidRPr="006670C1">
                    <w:t> </w:t>
                  </w:r>
                </w:p>
                <w:p w14:paraId="50D3074C" w14:textId="77777777" w:rsidR="006670C1" w:rsidRPr="006670C1" w:rsidRDefault="006670C1" w:rsidP="006670C1">
                  <w:r w:rsidRPr="006670C1">
                    <w:t>Like most households and businesses, PCC Rupert Matthews is awaiting announcements from central government on budgets and funding, conscious that the smoke signals are anything but positive. </w:t>
                  </w:r>
                </w:p>
                <w:p w14:paraId="4ACBBC9C" w14:textId="77777777" w:rsidR="006670C1" w:rsidRPr="006670C1" w:rsidRDefault="006670C1" w:rsidP="006670C1">
                  <w:r w:rsidRPr="006670C1">
                    <w:t> </w:t>
                  </w:r>
                </w:p>
                <w:p w14:paraId="050F89E3" w14:textId="77777777" w:rsidR="006670C1" w:rsidRPr="006670C1" w:rsidRDefault="006670C1" w:rsidP="006670C1">
                  <w:r w:rsidRPr="006670C1">
                    <w:t>Every Council Tax payer makes a contribution known as the “precept” to the Police and Crime Commissioner (PCC), who then uses that money to fund crime prevention, victim support and police services. This year, Rupert Matthews, the PCC for Leicester, Leicestershire and Rutland will be starting a root and branch review of spending and activity to ensure value for money. He is determined that every penny will be spent in the most effective way to keep the public as safe as possible. It is therefore important that the public have their say over the precept. </w:t>
                  </w:r>
                </w:p>
                <w:p w14:paraId="40297B71" w14:textId="77777777" w:rsidR="006670C1" w:rsidRPr="006670C1" w:rsidRDefault="006670C1" w:rsidP="006670C1">
                  <w:r w:rsidRPr="006670C1">
                    <w:t> </w:t>
                  </w:r>
                </w:p>
                <w:p w14:paraId="12717DD0" w14:textId="77777777" w:rsidR="006670C1" w:rsidRPr="006670C1" w:rsidRDefault="006670C1" w:rsidP="006670C1">
                  <w:r w:rsidRPr="006670C1">
                    <w:t>As he launches a survey, designed to establish the public’s views on their contributions towards policing, crime prevention community safety and victim support services, he is aware that tough choices are in the pipeline. </w:t>
                  </w:r>
                </w:p>
                <w:p w14:paraId="26F44D49" w14:textId="77777777" w:rsidR="006670C1" w:rsidRPr="006670C1" w:rsidRDefault="006670C1" w:rsidP="006670C1">
                  <w:r w:rsidRPr="006670C1">
                    <w:t> </w:t>
                  </w:r>
                </w:p>
                <w:p w14:paraId="0545B041" w14:textId="77777777" w:rsidR="006670C1" w:rsidRPr="006670C1" w:rsidRDefault="006670C1" w:rsidP="006670C1">
                  <w:r w:rsidRPr="006670C1">
                    <w:t xml:space="preserve">More information can be found here: </w:t>
                  </w:r>
                  <w:hyperlink r:id="rId10" w:tgtFrame="_blank" w:history="1">
                    <w:r w:rsidRPr="006670C1">
                      <w:rPr>
                        <w:rStyle w:val="Hyperlink"/>
                      </w:rPr>
                      <w:t>https://leics.pcc.police.uk/News-and-Events/News-Archive/2025/PR-971.aspx</w:t>
                    </w:r>
                  </w:hyperlink>
                  <w:r w:rsidRPr="006670C1">
                    <w:t> </w:t>
                  </w:r>
                </w:p>
                <w:p w14:paraId="5D877312" w14:textId="77777777" w:rsidR="006670C1" w:rsidRPr="006670C1" w:rsidRDefault="006670C1" w:rsidP="006670C1">
                  <w:r w:rsidRPr="006670C1">
                    <w:t> </w:t>
                  </w:r>
                </w:p>
                <w:p w14:paraId="305661FE" w14:textId="77777777" w:rsidR="006670C1" w:rsidRPr="006670C1" w:rsidRDefault="006670C1" w:rsidP="006670C1">
                  <w:r w:rsidRPr="006670C1">
                    <w:t xml:space="preserve">To have your say, click the link: </w:t>
                  </w:r>
                  <w:hyperlink r:id="rId11" w:tgtFrame="_blank" w:history="1">
                    <w:r w:rsidRPr="006670C1">
                      <w:rPr>
                        <w:rStyle w:val="Hyperlink"/>
                      </w:rPr>
                      <w:t>https://smartsurvey.co.uk/s/LLRBudgetSurvey26-27/</w:t>
                    </w:r>
                  </w:hyperlink>
                  <w:r w:rsidRPr="006670C1">
                    <w:t> </w:t>
                  </w:r>
                </w:p>
                <w:p w14:paraId="7CFA08B0" w14:textId="77777777" w:rsidR="006670C1" w:rsidRPr="006670C1" w:rsidRDefault="006670C1" w:rsidP="006670C1">
                  <w:r w:rsidRPr="006670C1">
                    <w:t> </w:t>
                  </w:r>
                </w:p>
                <w:p w14:paraId="1F2C49B7" w14:textId="77777777" w:rsidR="006670C1" w:rsidRPr="006670C1" w:rsidRDefault="006670C1" w:rsidP="006670C1">
                  <w:hyperlink r:id="rId12" w:history="1">
                    <w:r w:rsidRPr="006670C1">
                      <w:rPr>
                        <w:rStyle w:val="Hyperlink"/>
                      </w:rPr>
                      <w:t>#SafeAndProsperousCommunities</w:t>
                    </w:r>
                  </w:hyperlink>
                </w:p>
              </w:tc>
            </w:tr>
          </w:tbl>
          <w:p w14:paraId="137E74D9" w14:textId="4F888164" w:rsidR="006670C1" w:rsidRPr="006670C1" w:rsidRDefault="006670C1" w:rsidP="006670C1">
            <w:r w:rsidRPr="006670C1">
              <w:drawing>
                <wp:inline distT="0" distB="0" distL="0" distR="0" wp14:anchorId="7F7D0E03" wp14:editId="00336A7A">
                  <wp:extent cx="7620" cy="7620"/>
                  <wp:effectExtent l="0" t="0" r="0" b="0"/>
                  <wp:docPr id="18181328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670C1">
              <w:t xml:space="preserve">  </w:t>
            </w:r>
          </w:p>
        </w:tc>
      </w:tr>
      <w:tr w:rsidR="006670C1" w:rsidRPr="006670C1" w14:paraId="27D1A04A"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6670C1" w:rsidRPr="006670C1" w14:paraId="47C83E10" w14:textId="77777777">
              <w:trPr>
                <w:tblCellSpacing w:w="0" w:type="dxa"/>
              </w:trPr>
              <w:tc>
                <w:tcPr>
                  <w:tcW w:w="1600" w:type="pct"/>
                  <w:vAlign w:val="center"/>
                  <w:hideMark/>
                </w:tcPr>
                <w:p w14:paraId="66336656" w14:textId="4BC5F958" w:rsidR="006670C1" w:rsidRPr="006670C1" w:rsidRDefault="006670C1" w:rsidP="006670C1">
                  <w:r w:rsidRPr="006670C1">
                    <w:rPr>
                      <w:u w:val="single"/>
                    </w:rPr>
                    <w:drawing>
                      <wp:inline distT="0" distB="0" distL="0" distR="0" wp14:anchorId="7B8F774E" wp14:editId="7F968053">
                        <wp:extent cx="1813560" cy="388620"/>
                        <wp:effectExtent l="0" t="0" r="0" b="0"/>
                        <wp:docPr id="1678175972" name="Picture 13" descr="Repl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pl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c>
                <w:tcPr>
                  <w:tcW w:w="100" w:type="pct"/>
                  <w:vAlign w:val="center"/>
                  <w:hideMark/>
                </w:tcPr>
                <w:p w14:paraId="5CE9E78D" w14:textId="77777777" w:rsidR="006670C1" w:rsidRPr="006670C1" w:rsidRDefault="006670C1" w:rsidP="006670C1"/>
              </w:tc>
              <w:tc>
                <w:tcPr>
                  <w:tcW w:w="1600" w:type="pct"/>
                  <w:vAlign w:val="center"/>
                  <w:hideMark/>
                </w:tcPr>
                <w:p w14:paraId="14650529" w14:textId="0FF95D39" w:rsidR="006670C1" w:rsidRPr="006670C1" w:rsidRDefault="006670C1" w:rsidP="006670C1">
                  <w:r w:rsidRPr="006670C1">
                    <w:rPr>
                      <w:u w:val="single"/>
                    </w:rPr>
                    <w:drawing>
                      <wp:inline distT="0" distB="0" distL="0" distR="0" wp14:anchorId="49E0F308" wp14:editId="4B72D8F0">
                        <wp:extent cx="1813560" cy="388620"/>
                        <wp:effectExtent l="0" t="0" r="0" b="0"/>
                        <wp:docPr id="1814550002" name="Picture 12" descr="Sha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h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c>
                <w:tcPr>
                  <w:tcW w:w="100" w:type="pct"/>
                  <w:vAlign w:val="center"/>
                  <w:hideMark/>
                </w:tcPr>
                <w:p w14:paraId="0283AFD1" w14:textId="77777777" w:rsidR="006670C1" w:rsidRPr="006670C1" w:rsidRDefault="006670C1" w:rsidP="006670C1"/>
              </w:tc>
              <w:tc>
                <w:tcPr>
                  <w:tcW w:w="1600" w:type="pct"/>
                  <w:vAlign w:val="center"/>
                  <w:hideMark/>
                </w:tcPr>
                <w:p w14:paraId="10FCA811" w14:textId="596535E8" w:rsidR="006670C1" w:rsidRPr="006670C1" w:rsidRDefault="006670C1" w:rsidP="006670C1">
                  <w:r w:rsidRPr="006670C1">
                    <w:rPr>
                      <w:u w:val="single"/>
                    </w:rPr>
                    <w:drawing>
                      <wp:inline distT="0" distB="0" distL="0" distR="0" wp14:anchorId="55D851F2" wp14:editId="70B48BD4">
                        <wp:extent cx="1813560" cy="388620"/>
                        <wp:effectExtent l="0" t="0" r="0" b="0"/>
                        <wp:docPr id="775077940" name="Picture 11" descr="Ra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r>
          </w:tbl>
          <w:p w14:paraId="6801CAE5" w14:textId="77777777" w:rsidR="006670C1" w:rsidRPr="006670C1" w:rsidRDefault="006670C1" w:rsidP="006670C1"/>
        </w:tc>
      </w:tr>
      <w:tr w:rsidR="006670C1" w:rsidRPr="006670C1" w14:paraId="3006905E"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36" w:type="dxa"/>
                <w:left w:w="36" w:type="dxa"/>
                <w:bottom w:w="36" w:type="dxa"/>
                <w:right w:w="36" w:type="dxa"/>
              </w:tblCellMar>
              <w:tblLook w:val="04A0" w:firstRow="1" w:lastRow="0" w:firstColumn="1" w:lastColumn="0" w:noHBand="0" w:noVBand="1"/>
            </w:tblPr>
            <w:tblGrid>
              <w:gridCol w:w="1317"/>
              <w:gridCol w:w="7709"/>
            </w:tblGrid>
            <w:tr w:rsidR="006670C1" w:rsidRPr="006670C1" w14:paraId="40A7C0DE" w14:textId="77777777">
              <w:trPr>
                <w:tblCellSpacing w:w="15" w:type="dxa"/>
              </w:trPr>
              <w:tc>
                <w:tcPr>
                  <w:tcW w:w="0" w:type="auto"/>
                  <w:vAlign w:val="center"/>
                  <w:hideMark/>
                </w:tcPr>
                <w:p w14:paraId="2FFEFC58" w14:textId="26384AAC" w:rsidR="006670C1" w:rsidRPr="006670C1" w:rsidRDefault="006670C1" w:rsidP="006670C1">
                  <w:r w:rsidRPr="006670C1">
                    <w:lastRenderedPageBreak/>
                    <w:drawing>
                      <wp:inline distT="0" distB="0" distL="0" distR="0" wp14:anchorId="66CC9B29" wp14:editId="6DFD371D">
                        <wp:extent cx="762000" cy="762000"/>
                        <wp:effectExtent l="0" t="0" r="0" b="0"/>
                        <wp:docPr id="315414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64237E0E" w14:textId="77777777" w:rsidR="006670C1" w:rsidRPr="006670C1" w:rsidRDefault="006670C1" w:rsidP="006670C1">
                  <w:r w:rsidRPr="006670C1">
                    <w:rPr>
                      <w:b/>
                      <w:bCs/>
                    </w:rPr>
                    <w:t>Message Sent By</w:t>
                  </w:r>
                  <w:r w:rsidRPr="006670C1">
                    <w:br/>
                    <w:t>Thomas Clarke</w:t>
                  </w:r>
                  <w:r w:rsidRPr="006670C1">
                    <w:br/>
                    <w:t>(Office of the Police and Crime Commissioner for Leicester, Leicestershire and Rutland, Communications and Engagement Officer, Leicester, Leicestershire and Rutland)</w:t>
                  </w:r>
                </w:p>
              </w:tc>
            </w:tr>
          </w:tbl>
          <w:p w14:paraId="7E9EE00F" w14:textId="77777777" w:rsidR="006670C1" w:rsidRPr="006670C1" w:rsidRDefault="006670C1" w:rsidP="006670C1"/>
        </w:tc>
      </w:tr>
      <w:tr w:rsidR="006670C1" w:rsidRPr="006670C1" w14:paraId="6F65B02B" w14:textId="77777777">
        <w:trPr>
          <w:jc w:val="center"/>
        </w:trPr>
        <w:tc>
          <w:tcPr>
            <w:tcW w:w="0" w:type="auto"/>
            <w:vAlign w:val="center"/>
            <w:hideMark/>
          </w:tcPr>
          <w:p w14:paraId="06DD35CD" w14:textId="77777777" w:rsidR="006670C1" w:rsidRPr="006670C1" w:rsidRDefault="006670C1" w:rsidP="006670C1">
            <w:r w:rsidRPr="006670C1">
              <w:pict w14:anchorId="52696376">
                <v:rect id="_x0000_i1092" style="width:468pt;height:1.2pt" o:hralign="center" o:hrstd="t" o:hrnoshade="t" o:hr="t" fillcolor="black" stroked="f"/>
              </w:pict>
            </w:r>
          </w:p>
        </w:tc>
      </w:tr>
      <w:tr w:rsidR="006670C1" w:rsidRPr="006670C1" w14:paraId="2B79880B" w14:textId="77777777">
        <w:trPr>
          <w:jc w:val="center"/>
        </w:trPr>
        <w:tc>
          <w:tcPr>
            <w:tcW w:w="0" w:type="auto"/>
            <w:vAlign w:val="center"/>
            <w:hideMark/>
          </w:tcPr>
          <w:p w14:paraId="2B245264" w14:textId="77777777" w:rsidR="006670C1" w:rsidRPr="006670C1" w:rsidRDefault="006670C1" w:rsidP="006670C1">
            <w:pPr>
              <w:rPr>
                <w:b/>
                <w:bCs/>
              </w:rPr>
            </w:pPr>
            <w:r w:rsidRPr="006670C1">
              <w:rPr>
                <w:b/>
                <w:bCs/>
              </w:rPr>
              <w:t>Your Neighbourhood Link account...</w:t>
            </w:r>
          </w:p>
        </w:tc>
      </w:tr>
      <w:tr w:rsidR="006670C1" w:rsidRPr="006670C1" w14:paraId="08C0EC11"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250"/>
              <w:gridCol w:w="2250"/>
              <w:gridCol w:w="2250"/>
              <w:gridCol w:w="2250"/>
            </w:tblGrid>
            <w:tr w:rsidR="006670C1" w:rsidRPr="006670C1" w14:paraId="147512D5" w14:textId="77777777">
              <w:trPr>
                <w:tblCellSpacing w:w="0" w:type="dxa"/>
              </w:trPr>
              <w:tc>
                <w:tcPr>
                  <w:tcW w:w="1250" w:type="pct"/>
                  <w:vAlign w:val="center"/>
                  <w:hideMark/>
                </w:tcPr>
                <w:p w14:paraId="7064CCEF" w14:textId="77777777" w:rsidR="006670C1" w:rsidRPr="006670C1" w:rsidRDefault="006670C1" w:rsidP="006670C1">
                  <w:hyperlink r:id="rId21" w:tgtFrame="_blank" w:history="1">
                    <w:r w:rsidRPr="006670C1">
                      <w:rPr>
                        <w:rStyle w:val="Hyperlink"/>
                      </w:rPr>
                      <w:t>Area Insights</w:t>
                    </w:r>
                  </w:hyperlink>
                  <w:r w:rsidRPr="006670C1">
                    <w:t xml:space="preserve"> </w:t>
                  </w:r>
                </w:p>
              </w:tc>
              <w:tc>
                <w:tcPr>
                  <w:tcW w:w="1250" w:type="pct"/>
                  <w:vAlign w:val="center"/>
                  <w:hideMark/>
                </w:tcPr>
                <w:p w14:paraId="6616DCD7" w14:textId="77777777" w:rsidR="006670C1" w:rsidRPr="006670C1" w:rsidRDefault="006670C1" w:rsidP="006670C1">
                  <w:hyperlink r:id="rId22" w:tgtFrame="_blank" w:history="1">
                    <w:r w:rsidRPr="006670C1">
                      <w:rPr>
                        <w:rStyle w:val="Hyperlink"/>
                      </w:rPr>
                      <w:t>Update Preferences</w:t>
                    </w:r>
                  </w:hyperlink>
                  <w:r w:rsidRPr="006670C1">
                    <w:t xml:space="preserve"> </w:t>
                  </w:r>
                </w:p>
              </w:tc>
              <w:tc>
                <w:tcPr>
                  <w:tcW w:w="1250" w:type="pct"/>
                  <w:vAlign w:val="center"/>
                  <w:hideMark/>
                </w:tcPr>
                <w:p w14:paraId="1623133A" w14:textId="77777777" w:rsidR="006670C1" w:rsidRPr="006670C1" w:rsidRDefault="006670C1" w:rsidP="006670C1">
                  <w:hyperlink r:id="rId23" w:tgtFrame="_blank" w:history="1">
                    <w:r w:rsidRPr="006670C1">
                      <w:rPr>
                        <w:rStyle w:val="Hyperlink"/>
                      </w:rPr>
                      <w:t>System Support</w:t>
                    </w:r>
                  </w:hyperlink>
                  <w:r w:rsidRPr="006670C1">
                    <w:t xml:space="preserve"> </w:t>
                  </w:r>
                </w:p>
              </w:tc>
              <w:tc>
                <w:tcPr>
                  <w:tcW w:w="1250" w:type="pct"/>
                  <w:vAlign w:val="center"/>
                  <w:hideMark/>
                </w:tcPr>
                <w:p w14:paraId="5AA559DB" w14:textId="77777777" w:rsidR="006670C1" w:rsidRPr="006670C1" w:rsidRDefault="006670C1" w:rsidP="006670C1">
                  <w:hyperlink r:id="rId24" w:tgtFrame="_blank" w:history="1">
                    <w:r w:rsidRPr="006670C1">
                      <w:rPr>
                        <w:rStyle w:val="Hyperlink"/>
                      </w:rPr>
                      <w:t>Unsubscribe</w:t>
                    </w:r>
                  </w:hyperlink>
                  <w:r w:rsidRPr="006670C1">
                    <w:t xml:space="preserve"> </w:t>
                  </w:r>
                </w:p>
              </w:tc>
            </w:tr>
          </w:tbl>
          <w:p w14:paraId="6A603AE9" w14:textId="77777777" w:rsidR="006670C1" w:rsidRPr="006670C1" w:rsidRDefault="006670C1" w:rsidP="006670C1"/>
        </w:tc>
      </w:tr>
    </w:tbl>
    <w:p w14:paraId="611D1BFD"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C1"/>
    <w:rsid w:val="001F6461"/>
    <w:rsid w:val="006670C1"/>
    <w:rsid w:val="00A53816"/>
    <w:rsid w:val="00AF5CBD"/>
    <w:rsid w:val="00C5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A91"/>
  <w15:chartTrackingRefBased/>
  <w15:docId w15:val="{F8F572B0-CE13-42DE-AE86-227CFFC9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0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0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0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0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0C1"/>
    <w:rPr>
      <w:rFonts w:eastAsiaTheme="majorEastAsia" w:cstheme="majorBidi"/>
      <w:color w:val="272727" w:themeColor="text1" w:themeTint="D8"/>
    </w:rPr>
  </w:style>
  <w:style w:type="paragraph" w:styleId="Title">
    <w:name w:val="Title"/>
    <w:basedOn w:val="Normal"/>
    <w:next w:val="Normal"/>
    <w:link w:val="TitleChar"/>
    <w:uiPriority w:val="10"/>
    <w:qFormat/>
    <w:rsid w:val="006670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0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0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0C1"/>
    <w:rPr>
      <w:i/>
      <w:iCs/>
      <w:color w:val="404040" w:themeColor="text1" w:themeTint="BF"/>
    </w:rPr>
  </w:style>
  <w:style w:type="paragraph" w:styleId="ListParagraph">
    <w:name w:val="List Paragraph"/>
    <w:basedOn w:val="Normal"/>
    <w:uiPriority w:val="34"/>
    <w:qFormat/>
    <w:rsid w:val="006670C1"/>
    <w:pPr>
      <w:ind w:left="720"/>
      <w:contextualSpacing/>
    </w:pPr>
  </w:style>
  <w:style w:type="character" w:styleId="IntenseEmphasis">
    <w:name w:val="Intense Emphasis"/>
    <w:basedOn w:val="DefaultParagraphFont"/>
    <w:uiPriority w:val="21"/>
    <w:qFormat/>
    <w:rsid w:val="006670C1"/>
    <w:rPr>
      <w:i/>
      <w:iCs/>
      <w:color w:val="0F4761" w:themeColor="accent1" w:themeShade="BF"/>
    </w:rPr>
  </w:style>
  <w:style w:type="paragraph" w:styleId="IntenseQuote">
    <w:name w:val="Intense Quote"/>
    <w:basedOn w:val="Normal"/>
    <w:next w:val="Normal"/>
    <w:link w:val="IntenseQuoteChar"/>
    <w:uiPriority w:val="30"/>
    <w:qFormat/>
    <w:rsid w:val="0066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0C1"/>
    <w:rPr>
      <w:i/>
      <w:iCs/>
      <w:color w:val="0F4761" w:themeColor="accent1" w:themeShade="BF"/>
    </w:rPr>
  </w:style>
  <w:style w:type="character" w:styleId="IntenseReference">
    <w:name w:val="Intense Reference"/>
    <w:basedOn w:val="DefaultParagraphFont"/>
    <w:uiPriority w:val="32"/>
    <w:qFormat/>
    <w:rsid w:val="006670C1"/>
    <w:rPr>
      <w:b/>
      <w:bCs/>
      <w:smallCaps/>
      <w:color w:val="0F4761" w:themeColor="accent1" w:themeShade="BF"/>
      <w:spacing w:val="5"/>
    </w:rPr>
  </w:style>
  <w:style w:type="character" w:styleId="Hyperlink">
    <w:name w:val="Hyperlink"/>
    <w:basedOn w:val="DefaultParagraphFont"/>
    <w:uiPriority w:val="99"/>
    <w:unhideWhenUsed/>
    <w:rsid w:val="006670C1"/>
    <w:rPr>
      <w:color w:val="467886" w:themeColor="hyperlink"/>
      <w:u w:val="single"/>
    </w:rPr>
  </w:style>
  <w:style w:type="character" w:styleId="UnresolvedMention">
    <w:name w:val="Unresolved Mention"/>
    <w:basedOn w:val="DefaultParagraphFont"/>
    <w:uiPriority w:val="99"/>
    <w:semiHidden/>
    <w:unhideWhenUsed/>
    <w:rsid w:val="0066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hyperlink" Target="https://members.neighbourhoodlink.co.uk/AlertMessage/RateMessage/6A0C4E0EC76685238E4F204C61DBC3E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embers.neighbourhoodlink.co.uk/YourDetails/AroundMeKey?_key=6A0C4E0EC76685238E4F204C61DBC3E7" TargetMode="External"/><Relationship Id="rId7" Type="http://schemas.openxmlformats.org/officeDocument/2006/relationships/image" Target="media/image2.jpeg"/><Relationship Id="rId12" Type="http://schemas.openxmlformats.org/officeDocument/2006/relationships/hyperlink" Target="https://s-url.co/fy8oAA"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mbers.neighbourhoodlink.co.uk/AlertMessage/ShareMessageToSocialMedia/6A0C4E0EC76685238E4F204C61DBC3E7" TargetMode="Externa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members.neighbourhoodlink.co.uk/YourDetails/YourMessagingConfig/6A0C4E0EC76685238E4F204C61DBC3E7" TargetMode="External"/><Relationship Id="rId11" Type="http://schemas.openxmlformats.org/officeDocument/2006/relationships/hyperlink" Target="https://s-url.co/fi8oAA" TargetMode="External"/><Relationship Id="rId24" Type="http://schemas.openxmlformats.org/officeDocument/2006/relationships/hyperlink" Target="https://members.neighbourhoodlink.co.uk/YourDetails/Unsubscribe/6A0C4E0EC76685238E4F204C61DBC3E7"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mailto:support@neighbourhoodalert.co.uk?subject=Neighbourhood%20Alert%20Support&amp;body=%0A%0A%23%23%23%20Please%20type%20above%20this%20line%20%23%23%23%23%0APlease%20do%20not%20use%20this%20email%20to%20report%20crime.%20You%20are%20contacting%20the%20technical%20support%20team%20for%20the%20Neighbourhood%20Alert%20system.%0A%0AContact%20from%20Neighbourhood%20Link%20alert%20message%20system%20support%20link." TargetMode="External"/><Relationship Id="rId10" Type="http://schemas.openxmlformats.org/officeDocument/2006/relationships/hyperlink" Target="https://s-url.co/fS8oAA" TargetMode="External"/><Relationship Id="rId19" Type="http://schemas.openxmlformats.org/officeDocument/2006/relationships/image" Target="media/image8.png"/><Relationship Id="rId4" Type="http://schemas.openxmlformats.org/officeDocument/2006/relationships/hyperlink" Target="https://www.neighbourhoodlink.co.uk/" TargetMode="External"/><Relationship Id="rId9" Type="http://schemas.openxmlformats.org/officeDocument/2006/relationships/image" Target="media/image4.jpeg"/><Relationship Id="rId14" Type="http://schemas.openxmlformats.org/officeDocument/2006/relationships/hyperlink" Target="https://members.neighbourhoodlink.co.uk/AlertMessage/RepliesToMessage/6A0C4E0EC76685238E4F204C61DBC3E7" TargetMode="External"/><Relationship Id="rId22" Type="http://schemas.openxmlformats.org/officeDocument/2006/relationships/hyperlink" Target="https://members.neighbourhoodlink.co.uk/YourDetails/YourMessagingConfig/6A0C4E0EC76685238E4F204C61DBC3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2025-11-25T13:45:00Z</dcterms:created>
  <dcterms:modified xsi:type="dcterms:W3CDTF">2025-11-25T13:46:00Z</dcterms:modified>
</cp:coreProperties>
</file>