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6076" w14:textId="77777777" w:rsidR="007E0EE7" w:rsidRPr="007E0EE7" w:rsidRDefault="007E0EE7" w:rsidP="007E0EE7">
      <w:r w:rsidRPr="007E0EE7">
        <w:rPr>
          <w:b/>
          <w:bCs/>
        </w:rPr>
        <w:t>NEWS RELEASE</w:t>
      </w:r>
    </w:p>
    <w:p w14:paraId="78983BAC" w14:textId="77777777" w:rsidR="007E0EE7" w:rsidRPr="007E0EE7" w:rsidRDefault="007E0EE7" w:rsidP="007E0EE7">
      <w:r w:rsidRPr="007E0EE7">
        <w:rPr>
          <w:b/>
          <w:bCs/>
        </w:rPr>
        <w:t> </w:t>
      </w:r>
    </w:p>
    <w:p w14:paraId="03362728" w14:textId="77777777" w:rsidR="007E0EE7" w:rsidRPr="007E0EE7" w:rsidRDefault="007E0EE7" w:rsidP="007E0EE7">
      <w:r w:rsidRPr="007E0EE7">
        <w:rPr>
          <w:b/>
          <w:bCs/>
        </w:rPr>
        <w:t>Could you go green and save money?</w:t>
      </w:r>
    </w:p>
    <w:p w14:paraId="4F88CBC6" w14:textId="77777777" w:rsidR="007E0EE7" w:rsidRPr="007E0EE7" w:rsidRDefault="007E0EE7" w:rsidP="007E0EE7">
      <w:r w:rsidRPr="007E0EE7">
        <w:t> </w:t>
      </w:r>
    </w:p>
    <w:p w14:paraId="4DFE4525" w14:textId="77777777" w:rsidR="007E0EE7" w:rsidRPr="007E0EE7" w:rsidRDefault="007E0EE7" w:rsidP="007E0EE7">
      <w:r w:rsidRPr="007E0EE7">
        <w:t xml:space="preserve">Energy bill price hikes have hit the headlines yet again. If you want to look into paying less and going green with sustainable tariffs, why not check out our latest Blaby District Council Big Community Switch. </w:t>
      </w:r>
    </w:p>
    <w:p w14:paraId="2EAF8199" w14:textId="77777777" w:rsidR="007E0EE7" w:rsidRPr="007E0EE7" w:rsidRDefault="007E0EE7" w:rsidP="007E0EE7">
      <w:r w:rsidRPr="007E0EE7">
        <w:t> </w:t>
      </w:r>
    </w:p>
    <w:p w14:paraId="1E0B864D" w14:textId="77777777" w:rsidR="007E0EE7" w:rsidRPr="007E0EE7" w:rsidRDefault="007E0EE7" w:rsidP="007E0EE7">
      <w:r w:rsidRPr="007E0EE7">
        <w:t xml:space="preserve">We’re offering residents the chance to sign up to a fresh energy auction, which uses community-based buying power to give households an easy, hassle-free way to switch to a competitive fixed tariff. </w:t>
      </w:r>
    </w:p>
    <w:p w14:paraId="3B2C08E5" w14:textId="77777777" w:rsidR="007E0EE7" w:rsidRPr="007E0EE7" w:rsidRDefault="007E0EE7" w:rsidP="007E0EE7">
      <w:r w:rsidRPr="007E0EE7">
        <w:t> </w:t>
      </w:r>
    </w:p>
    <w:p w14:paraId="235E19A0" w14:textId="77777777" w:rsidR="007E0EE7" w:rsidRPr="007E0EE7" w:rsidRDefault="007E0EE7" w:rsidP="007E0EE7">
      <w:r w:rsidRPr="007E0EE7">
        <w:t xml:space="preserve">Registration is now open and ends on Monday 28 April, allowing residents ample time to check out the scheme. </w:t>
      </w:r>
    </w:p>
    <w:p w14:paraId="6C09E032" w14:textId="77777777" w:rsidR="007E0EE7" w:rsidRPr="007E0EE7" w:rsidRDefault="007E0EE7" w:rsidP="007E0EE7">
      <w:r w:rsidRPr="007E0EE7">
        <w:t> </w:t>
      </w:r>
    </w:p>
    <w:p w14:paraId="51EACC88" w14:textId="77777777" w:rsidR="007E0EE7" w:rsidRPr="007E0EE7" w:rsidRDefault="007E0EE7" w:rsidP="007E0EE7">
      <w:r w:rsidRPr="007E0EE7">
        <w:t xml:space="preserve">Run by collective energy switching experts iChoosr, it works on the basis that the more people who register their interest in the auction, the better the deal energy suppliers may offer. </w:t>
      </w:r>
    </w:p>
    <w:p w14:paraId="37B56CAD" w14:textId="77777777" w:rsidR="007E0EE7" w:rsidRPr="007E0EE7" w:rsidRDefault="007E0EE7" w:rsidP="007E0EE7">
      <w:r w:rsidRPr="007E0EE7">
        <w:t> </w:t>
      </w:r>
    </w:p>
    <w:p w14:paraId="4616F892" w14:textId="77777777" w:rsidR="007E0EE7" w:rsidRPr="007E0EE7" w:rsidRDefault="007E0EE7" w:rsidP="007E0EE7">
      <w:r w:rsidRPr="007E0EE7">
        <w:t xml:space="preserve">Once the auction is complete, participants will receive a personal offer, allowing them to decide whether the new tariff is right for them.  </w:t>
      </w:r>
    </w:p>
    <w:p w14:paraId="7A4ADD11" w14:textId="77777777" w:rsidR="007E0EE7" w:rsidRPr="007E0EE7" w:rsidRDefault="007E0EE7" w:rsidP="007E0EE7">
      <w:r w:rsidRPr="007E0EE7">
        <w:t> </w:t>
      </w:r>
    </w:p>
    <w:p w14:paraId="250FC1D3" w14:textId="77777777" w:rsidR="007E0EE7" w:rsidRPr="007E0EE7" w:rsidRDefault="007E0EE7" w:rsidP="007E0EE7">
      <w:r w:rsidRPr="007E0EE7">
        <w:t xml:space="preserve">Offers come from reputable, trusted suppliers and are 100% renewable energy tariffs, helping households go green and potentially save money in the process. </w:t>
      </w:r>
    </w:p>
    <w:p w14:paraId="688B7DD0" w14:textId="77777777" w:rsidR="007E0EE7" w:rsidRPr="007E0EE7" w:rsidRDefault="007E0EE7" w:rsidP="007E0EE7">
      <w:r w:rsidRPr="007E0EE7">
        <w:t> </w:t>
      </w:r>
    </w:p>
    <w:p w14:paraId="4A667D50" w14:textId="77777777" w:rsidR="007E0EE7" w:rsidRPr="007E0EE7" w:rsidRDefault="007E0EE7" w:rsidP="007E0EE7">
      <w:r w:rsidRPr="007E0EE7">
        <w:t xml:space="preserve">There is no obligation to take the offer if it is not right for the household. </w:t>
      </w:r>
    </w:p>
    <w:p w14:paraId="58E23D5A" w14:textId="77777777" w:rsidR="007E0EE7" w:rsidRPr="007E0EE7" w:rsidRDefault="007E0EE7" w:rsidP="007E0EE7">
      <w:r w:rsidRPr="007E0EE7">
        <w:t> </w:t>
      </w:r>
    </w:p>
    <w:p w14:paraId="7A5896FC" w14:textId="77777777" w:rsidR="007E0EE7" w:rsidRPr="007E0EE7" w:rsidRDefault="007E0EE7" w:rsidP="007E0EE7">
      <w:r w:rsidRPr="007E0EE7">
        <w:t xml:space="preserve">Councillor Les Phillimore, Portfolio Holder for Environmental Services said: “Rising energy costs continue to place a significant burden on households and seem to show no sign of decreasing. This scheme offers a practical starting point for residents to make an informed decision about switching their energy supplier. </w:t>
      </w:r>
    </w:p>
    <w:p w14:paraId="33A533F7" w14:textId="77777777" w:rsidR="007E0EE7" w:rsidRPr="007E0EE7" w:rsidRDefault="007E0EE7" w:rsidP="007E0EE7">
      <w:r w:rsidRPr="007E0EE7">
        <w:t> </w:t>
      </w:r>
    </w:p>
    <w:p w14:paraId="63C74C4A" w14:textId="77777777" w:rsidR="007E0EE7" w:rsidRPr="007E0EE7" w:rsidRDefault="007E0EE7" w:rsidP="007E0EE7">
      <w:r w:rsidRPr="007E0EE7">
        <w:t xml:space="preserve">“By coming together as a community, residents across the Blaby District area can access tariffs through the scheme that might not be available to them individually. The scheme also brings a hassle-free way of switching. All people need to do is register, review their offers and if they accept, the switching process is taken care of. </w:t>
      </w:r>
    </w:p>
    <w:p w14:paraId="6FC6B09C" w14:textId="77777777" w:rsidR="007E0EE7" w:rsidRPr="007E0EE7" w:rsidRDefault="007E0EE7" w:rsidP="007E0EE7">
      <w:r w:rsidRPr="007E0EE7">
        <w:t> </w:t>
      </w:r>
    </w:p>
    <w:p w14:paraId="347248EF" w14:textId="77777777" w:rsidR="007E0EE7" w:rsidRPr="007E0EE7" w:rsidRDefault="007E0EE7" w:rsidP="007E0EE7">
      <w:r w:rsidRPr="007E0EE7">
        <w:t xml:space="preserve">“Tariffs are fixed so there is certainty over bills and the energy is 100% renewable, allowing households to support sustainability and reduce their own carbon footprint as well as that of the District.” </w:t>
      </w:r>
    </w:p>
    <w:p w14:paraId="1F64C0D5" w14:textId="77777777" w:rsidR="007E0EE7" w:rsidRPr="007E0EE7" w:rsidRDefault="007E0EE7" w:rsidP="007E0EE7">
      <w:r w:rsidRPr="007E0EE7">
        <w:t> </w:t>
      </w:r>
    </w:p>
    <w:p w14:paraId="77467435" w14:textId="77777777" w:rsidR="007E0EE7" w:rsidRPr="007E0EE7" w:rsidRDefault="007E0EE7" w:rsidP="007E0EE7">
      <w:r w:rsidRPr="007E0EE7">
        <w:t xml:space="preserve">Switching energy suppliers can be a daunting task for some. Big Community Switch helps demystify this process for residents and offers guidance and support every step of the way. </w:t>
      </w:r>
    </w:p>
    <w:p w14:paraId="64E5045F" w14:textId="77777777" w:rsidR="007E0EE7" w:rsidRPr="007E0EE7" w:rsidRDefault="007E0EE7" w:rsidP="007E0EE7">
      <w:r w:rsidRPr="007E0EE7">
        <w:t> </w:t>
      </w:r>
    </w:p>
    <w:p w14:paraId="40E598BD" w14:textId="77777777" w:rsidR="007E0EE7" w:rsidRPr="007E0EE7" w:rsidRDefault="007E0EE7" w:rsidP="007E0EE7">
      <w:r w:rsidRPr="007E0EE7">
        <w:t>The focus on 100% renewable energy also ensures the scheme helps towards households cutting their carbon emissions and the District achieving its ambition to be Net Zero by 2050.</w:t>
      </w:r>
      <w:r w:rsidRPr="007E0EE7">
        <w:rPr>
          <w:rFonts w:ascii="Arial" w:hAnsi="Arial" w:cs="Arial"/>
        </w:rPr>
        <w:t> </w:t>
      </w:r>
      <w:r w:rsidRPr="007E0EE7">
        <w:t xml:space="preserve"> </w:t>
      </w:r>
    </w:p>
    <w:p w14:paraId="43215789" w14:textId="77777777" w:rsidR="007E0EE7" w:rsidRPr="007E0EE7" w:rsidRDefault="007E0EE7" w:rsidP="007E0EE7">
      <w:r w:rsidRPr="007E0EE7">
        <w:t> </w:t>
      </w:r>
    </w:p>
    <w:p w14:paraId="71280A8B" w14:textId="77777777" w:rsidR="007E0EE7" w:rsidRPr="007E0EE7" w:rsidRDefault="007E0EE7" w:rsidP="007E0EE7">
      <w:r w:rsidRPr="007E0EE7">
        <w:t xml:space="preserve">Since 2020 Blaby District has seen 6,125 households register with 814 actually switching, with a total saving realised of £119,964 and an estimated 617 tonnes of CO2 saved. Blaby District residents who signed up to the January 2024 Big Community Switch took advantage of savings of up to £93 a year as well as benefiting from moving to a green tariff. </w:t>
      </w:r>
    </w:p>
    <w:p w14:paraId="2829664A" w14:textId="77777777" w:rsidR="007E0EE7" w:rsidRPr="007E0EE7" w:rsidRDefault="007E0EE7" w:rsidP="007E0EE7">
      <w:r w:rsidRPr="007E0EE7">
        <w:t> </w:t>
      </w:r>
    </w:p>
    <w:p w14:paraId="5745FF05" w14:textId="77777777" w:rsidR="007E0EE7" w:rsidRPr="007E0EE7" w:rsidRDefault="007E0EE7" w:rsidP="007E0EE7">
      <w:r w:rsidRPr="007E0EE7">
        <w:lastRenderedPageBreak/>
        <w:t xml:space="preserve">If you want to take part, or for more information, please visit </w:t>
      </w:r>
      <w:hyperlink r:id="rId4" w:history="1">
        <w:r w:rsidRPr="007E0EE7">
          <w:rPr>
            <w:rStyle w:val="Hyperlink"/>
          </w:rPr>
          <w:t>Blaby Switch and Save – Blaby District Council</w:t>
        </w:r>
      </w:hyperlink>
      <w:r w:rsidRPr="007E0EE7">
        <w:rPr>
          <w:rFonts w:ascii="Arial" w:hAnsi="Arial" w:cs="Arial"/>
        </w:rPr>
        <w:t>  </w:t>
      </w:r>
    </w:p>
    <w:p w14:paraId="3355505D" w14:textId="77777777" w:rsidR="007E0EE7" w:rsidRPr="007E0EE7" w:rsidRDefault="007E0EE7" w:rsidP="007E0EE7">
      <w:r w:rsidRPr="007E0EE7">
        <w:t> </w:t>
      </w:r>
    </w:p>
    <w:p w14:paraId="6AF8C8B0" w14:textId="77777777" w:rsidR="007E0EE7" w:rsidRPr="007E0EE7" w:rsidRDefault="007E0EE7" w:rsidP="007E0EE7">
      <w:r w:rsidRPr="007E0EE7">
        <w:t>17 January 2025</w:t>
      </w:r>
    </w:p>
    <w:p w14:paraId="6537FE06" w14:textId="77777777" w:rsidR="007E0EE7" w:rsidRPr="007E0EE7" w:rsidRDefault="007E0EE7" w:rsidP="007E0EE7">
      <w:r w:rsidRPr="007E0EE7">
        <w:t> </w:t>
      </w:r>
    </w:p>
    <w:tbl>
      <w:tblPr>
        <w:tblW w:w="9360" w:type="dxa"/>
        <w:tblCellMar>
          <w:left w:w="0" w:type="dxa"/>
          <w:right w:w="0" w:type="dxa"/>
        </w:tblCellMar>
        <w:tblLook w:val="04A0" w:firstRow="1" w:lastRow="0" w:firstColumn="1" w:lastColumn="0" w:noHBand="0" w:noVBand="1"/>
      </w:tblPr>
      <w:tblGrid>
        <w:gridCol w:w="4680"/>
        <w:gridCol w:w="4680"/>
      </w:tblGrid>
      <w:tr w:rsidR="007E0EE7" w:rsidRPr="007E0EE7" w14:paraId="17ABBEEA" w14:textId="77777777" w:rsidTr="007E0EE7">
        <w:trPr>
          <w:trHeight w:val="300"/>
        </w:trPr>
        <w:tc>
          <w:tcPr>
            <w:tcW w:w="4678" w:type="dxa"/>
            <w:tcBorders>
              <w:top w:val="nil"/>
              <w:left w:val="nil"/>
              <w:bottom w:val="nil"/>
              <w:right w:val="single" w:sz="12" w:space="0" w:color="4F107A"/>
            </w:tcBorders>
            <w:tcMar>
              <w:top w:w="0" w:type="dxa"/>
              <w:left w:w="0" w:type="dxa"/>
              <w:bottom w:w="0" w:type="dxa"/>
              <w:right w:w="113" w:type="dxa"/>
            </w:tcMar>
            <w:hideMark/>
          </w:tcPr>
          <w:p w14:paraId="30191036" w14:textId="77777777" w:rsidR="007E0EE7" w:rsidRPr="007E0EE7" w:rsidRDefault="007E0EE7" w:rsidP="007E0EE7">
            <w:r w:rsidRPr="007E0EE7">
              <w:rPr>
                <w:lang w:val="en-US"/>
              </w:rPr>
              <w:t>Best regards</w:t>
            </w:r>
            <w:r w:rsidRPr="007E0EE7">
              <w:rPr>
                <w:b/>
                <w:bCs/>
                <w:lang w:val="en-US"/>
              </w:rPr>
              <w:t xml:space="preserve"> </w:t>
            </w:r>
          </w:p>
          <w:p w14:paraId="4C8FADE6" w14:textId="77777777" w:rsidR="007E0EE7" w:rsidRPr="007E0EE7" w:rsidRDefault="007E0EE7" w:rsidP="007E0EE7">
            <w:r w:rsidRPr="007E0EE7">
              <w:rPr>
                <w:b/>
                <w:bCs/>
                <w:lang w:val="en-US"/>
              </w:rPr>
              <w:t> </w:t>
            </w:r>
          </w:p>
          <w:p w14:paraId="3F0F38EE" w14:textId="77777777" w:rsidR="007E0EE7" w:rsidRPr="007E0EE7" w:rsidRDefault="007E0EE7" w:rsidP="007E0EE7">
            <w:r w:rsidRPr="007E0EE7">
              <w:rPr>
                <w:b/>
                <w:bCs/>
                <w:lang w:val="en-US"/>
              </w:rPr>
              <w:t>Karen Almond</w:t>
            </w:r>
          </w:p>
          <w:p w14:paraId="4607DD46" w14:textId="77777777" w:rsidR="007E0EE7" w:rsidRPr="007E0EE7" w:rsidRDefault="007E0EE7" w:rsidP="007E0EE7">
            <w:r w:rsidRPr="007E0EE7">
              <w:rPr>
                <w:lang w:val="en-US"/>
              </w:rPr>
              <w:t>Communications and Consultation Officer</w:t>
            </w:r>
          </w:p>
        </w:tc>
        <w:tc>
          <w:tcPr>
            <w:tcW w:w="4678" w:type="dxa"/>
            <w:tcMar>
              <w:top w:w="0" w:type="dxa"/>
              <w:left w:w="0" w:type="dxa"/>
              <w:bottom w:w="0" w:type="dxa"/>
              <w:right w:w="113" w:type="dxa"/>
            </w:tcMar>
            <w:hideMark/>
          </w:tcPr>
          <w:p w14:paraId="36C0A5F7" w14:textId="22358E02" w:rsidR="007E0EE7" w:rsidRPr="007E0EE7" w:rsidRDefault="007E0EE7" w:rsidP="007E0EE7">
            <w:r w:rsidRPr="007E0EE7">
              <w:rPr>
                <w:lang w:val="en-US"/>
              </w:rPr>
              <w:drawing>
                <wp:inline distT="0" distB="0" distL="0" distR="0" wp14:anchorId="384A0DE2" wp14:editId="337A32DB">
                  <wp:extent cx="2004060" cy="990600"/>
                  <wp:effectExtent l="0" t="0" r="15240" b="0"/>
                  <wp:docPr id="1973075713" name="Picture 2" descr="A logo with green and purple letter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green and purple letters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04060" cy="990600"/>
                          </a:xfrm>
                          <a:prstGeom prst="rect">
                            <a:avLst/>
                          </a:prstGeom>
                          <a:noFill/>
                          <a:ln>
                            <a:noFill/>
                          </a:ln>
                        </pic:spPr>
                      </pic:pic>
                    </a:graphicData>
                  </a:graphic>
                </wp:inline>
              </w:drawing>
            </w:r>
          </w:p>
        </w:tc>
      </w:tr>
      <w:tr w:rsidR="007E0EE7" w:rsidRPr="007E0EE7" w14:paraId="75A4DDC5" w14:textId="77777777" w:rsidTr="007E0EE7">
        <w:trPr>
          <w:trHeight w:val="300"/>
        </w:trPr>
        <w:tc>
          <w:tcPr>
            <w:tcW w:w="4678" w:type="dxa"/>
            <w:tcMar>
              <w:top w:w="0" w:type="dxa"/>
              <w:left w:w="0" w:type="dxa"/>
              <w:bottom w:w="0" w:type="dxa"/>
              <w:right w:w="113" w:type="dxa"/>
            </w:tcMar>
            <w:hideMark/>
          </w:tcPr>
          <w:p w14:paraId="32C7C3BE" w14:textId="77777777" w:rsidR="007E0EE7" w:rsidRPr="007E0EE7" w:rsidRDefault="007E0EE7" w:rsidP="007E0EE7">
            <w:r w:rsidRPr="007E0EE7">
              <w:rPr>
                <w:b/>
                <w:bCs/>
                <w:lang w:val="en-US"/>
              </w:rPr>
              <w:t>Mob:</w:t>
            </w:r>
            <w:r w:rsidRPr="007E0EE7">
              <w:rPr>
                <w:lang w:val="en-US"/>
              </w:rPr>
              <w:t xml:space="preserve">   </w:t>
            </w:r>
            <w:r w:rsidRPr="007E0EE7">
              <w:rPr>
                <w:b/>
                <w:bCs/>
                <w:lang w:val="en-US"/>
              </w:rPr>
              <w:t>07787 947674</w:t>
            </w:r>
            <w:r w:rsidRPr="007E0EE7">
              <w:rPr>
                <w:lang w:val="en-US"/>
              </w:rPr>
              <w:br/>
            </w:r>
            <w:r w:rsidRPr="007E0EE7">
              <w:rPr>
                <w:b/>
                <w:bCs/>
                <w:lang w:val="en-US"/>
              </w:rPr>
              <w:t>Tel:  </w:t>
            </w:r>
            <w:r w:rsidRPr="007E0EE7">
              <w:rPr>
                <w:lang w:val="en-US"/>
              </w:rPr>
              <w:t>0116 272 7577</w:t>
            </w:r>
            <w:r w:rsidRPr="007E0EE7">
              <w:rPr>
                <w:b/>
                <w:bCs/>
                <w:lang w:val="en-US"/>
              </w:rPr>
              <w:t xml:space="preserve"> </w:t>
            </w:r>
            <w:r w:rsidRPr="007E0EE7">
              <w:rPr>
                <w:lang w:val="en-US"/>
              </w:rPr>
              <w:br/>
            </w:r>
            <w:r w:rsidRPr="007E0EE7">
              <w:rPr>
                <w:b/>
                <w:bCs/>
                <w:lang w:val="en-US"/>
              </w:rPr>
              <w:t>Email:  </w:t>
            </w:r>
            <w:hyperlink r:id="rId7" w:history="1">
              <w:r w:rsidRPr="007E0EE7">
                <w:rPr>
                  <w:rStyle w:val="Hyperlink"/>
                  <w:lang w:val="en-US"/>
                </w:rPr>
                <w:t>karen.almond@blaby.gov.uk</w:t>
              </w:r>
            </w:hyperlink>
            <w:r w:rsidRPr="007E0EE7">
              <w:rPr>
                <w:lang w:val="en-US"/>
              </w:rPr>
              <w:br/>
            </w:r>
            <w:r w:rsidRPr="007E0EE7">
              <w:rPr>
                <w:b/>
                <w:bCs/>
                <w:lang w:val="en-US"/>
              </w:rPr>
              <w:t>Web:</w:t>
            </w:r>
            <w:r w:rsidRPr="007E0EE7">
              <w:rPr>
                <w:lang w:val="en-US"/>
              </w:rPr>
              <w:t xml:space="preserve"> </w:t>
            </w:r>
            <w:hyperlink r:id="rId8" w:history="1">
              <w:r w:rsidRPr="007E0EE7">
                <w:rPr>
                  <w:rStyle w:val="Hyperlink"/>
                  <w:lang w:val="en-US"/>
                </w:rPr>
                <w:t>www.blaby.gov.uk</w:t>
              </w:r>
            </w:hyperlink>
          </w:p>
          <w:p w14:paraId="34AD145C" w14:textId="77777777" w:rsidR="007E0EE7" w:rsidRPr="007E0EE7" w:rsidRDefault="007E0EE7" w:rsidP="007E0EE7">
            <w:r w:rsidRPr="007E0EE7">
              <w:rPr>
                <w:lang w:val="en-US"/>
              </w:rPr>
              <w:t> </w:t>
            </w:r>
          </w:p>
        </w:tc>
        <w:tc>
          <w:tcPr>
            <w:tcW w:w="4678" w:type="dxa"/>
            <w:tcMar>
              <w:top w:w="0" w:type="dxa"/>
              <w:left w:w="0" w:type="dxa"/>
              <w:bottom w:w="0" w:type="dxa"/>
              <w:right w:w="113" w:type="dxa"/>
            </w:tcMar>
            <w:hideMark/>
          </w:tcPr>
          <w:p w14:paraId="6EF2DA12" w14:textId="77777777" w:rsidR="007E0EE7" w:rsidRPr="007E0EE7" w:rsidRDefault="007E0EE7" w:rsidP="007E0EE7">
            <w:r w:rsidRPr="007E0EE7">
              <w:rPr>
                <w:lang w:val="en-US"/>
              </w:rPr>
              <w:t> </w:t>
            </w:r>
          </w:p>
        </w:tc>
      </w:tr>
      <w:tr w:rsidR="007E0EE7" w:rsidRPr="007E0EE7" w14:paraId="0F8AB41C" w14:textId="77777777" w:rsidTr="007E0EE7">
        <w:trPr>
          <w:trHeight w:val="300"/>
        </w:trPr>
        <w:tc>
          <w:tcPr>
            <w:tcW w:w="4678" w:type="dxa"/>
            <w:tcMar>
              <w:top w:w="0" w:type="dxa"/>
              <w:left w:w="0" w:type="dxa"/>
              <w:bottom w:w="0" w:type="dxa"/>
              <w:right w:w="113" w:type="dxa"/>
            </w:tcMar>
            <w:hideMark/>
          </w:tcPr>
          <w:p w14:paraId="50DCCADF" w14:textId="77777777" w:rsidR="007E0EE7" w:rsidRPr="007E0EE7" w:rsidRDefault="007E0EE7" w:rsidP="007E0EE7">
            <w:r w:rsidRPr="007E0EE7">
              <w:rPr>
                <w:b/>
                <w:bCs/>
                <w:lang w:val="en-US"/>
              </w:rPr>
              <w:t>Keep in touch:</w:t>
            </w:r>
            <w:r w:rsidRPr="007E0EE7">
              <w:rPr>
                <w:lang w:val="en-US"/>
              </w:rPr>
              <w:t xml:space="preserve"> </w:t>
            </w:r>
            <w:hyperlink r:id="rId9" w:history="1">
              <w:r w:rsidRPr="007E0EE7">
                <w:rPr>
                  <w:rStyle w:val="Hyperlink"/>
                  <w:lang w:val="en-US"/>
                </w:rPr>
                <w:t>www.blaby.gov.uk/signup</w:t>
              </w:r>
              <w:r w:rsidRPr="007E0EE7">
                <w:rPr>
                  <w:rStyle w:val="Hyperlink"/>
                  <w:lang w:val="en-US"/>
                </w:rPr>
                <w:br/>
              </w:r>
            </w:hyperlink>
            <w:r w:rsidRPr="007E0EE7">
              <w:rPr>
                <w:b/>
                <w:bCs/>
                <w:lang w:val="en-US"/>
              </w:rPr>
              <w:t xml:space="preserve">Facebook: </w:t>
            </w:r>
            <w:hyperlink r:id="rId10" w:history="1">
              <w:r w:rsidRPr="007E0EE7">
                <w:rPr>
                  <w:rStyle w:val="Hyperlink"/>
                  <w:lang w:val="en-US"/>
                </w:rPr>
                <w:t>www.facebook.com/blabydc</w:t>
              </w:r>
            </w:hyperlink>
          </w:p>
        </w:tc>
        <w:tc>
          <w:tcPr>
            <w:tcW w:w="4678" w:type="dxa"/>
            <w:tcMar>
              <w:top w:w="0" w:type="dxa"/>
              <w:left w:w="0" w:type="dxa"/>
              <w:bottom w:w="0" w:type="dxa"/>
              <w:right w:w="113" w:type="dxa"/>
            </w:tcMar>
            <w:hideMark/>
          </w:tcPr>
          <w:p w14:paraId="415FB40A" w14:textId="77777777" w:rsidR="007E0EE7" w:rsidRPr="007E0EE7" w:rsidRDefault="007E0EE7" w:rsidP="007E0EE7">
            <w:r w:rsidRPr="007E0EE7">
              <w:rPr>
                <w:lang w:val="en-US"/>
              </w:rPr>
              <w:t> </w:t>
            </w:r>
          </w:p>
        </w:tc>
      </w:tr>
      <w:tr w:rsidR="007E0EE7" w:rsidRPr="007E0EE7" w14:paraId="598AF18B" w14:textId="77777777" w:rsidTr="007E0EE7">
        <w:trPr>
          <w:trHeight w:val="300"/>
        </w:trPr>
        <w:tc>
          <w:tcPr>
            <w:tcW w:w="9356" w:type="dxa"/>
            <w:gridSpan w:val="2"/>
            <w:tcMar>
              <w:top w:w="0" w:type="dxa"/>
              <w:left w:w="0" w:type="dxa"/>
              <w:bottom w:w="0" w:type="dxa"/>
              <w:right w:w="113" w:type="dxa"/>
            </w:tcMar>
            <w:hideMark/>
          </w:tcPr>
          <w:p w14:paraId="572C4CCB" w14:textId="77777777" w:rsidR="007E0EE7" w:rsidRPr="007E0EE7" w:rsidRDefault="007E0EE7" w:rsidP="007E0EE7"/>
        </w:tc>
      </w:tr>
      <w:tr w:rsidR="007E0EE7" w:rsidRPr="007E0EE7" w14:paraId="4B418EB8" w14:textId="77777777" w:rsidTr="007E0EE7">
        <w:trPr>
          <w:trHeight w:val="300"/>
        </w:trPr>
        <w:tc>
          <w:tcPr>
            <w:tcW w:w="4678" w:type="dxa"/>
            <w:tcMar>
              <w:top w:w="0" w:type="dxa"/>
              <w:left w:w="0" w:type="dxa"/>
              <w:bottom w:w="0" w:type="dxa"/>
              <w:right w:w="113" w:type="dxa"/>
            </w:tcMar>
            <w:hideMark/>
          </w:tcPr>
          <w:p w14:paraId="42614D9E" w14:textId="77777777" w:rsidR="007E0EE7" w:rsidRPr="007E0EE7" w:rsidRDefault="007E0EE7" w:rsidP="007E0EE7">
            <w:r w:rsidRPr="007E0EE7">
              <w:rPr>
                <w:lang w:val="en-US"/>
              </w:rPr>
              <w:t> </w:t>
            </w:r>
          </w:p>
        </w:tc>
        <w:tc>
          <w:tcPr>
            <w:tcW w:w="4678" w:type="dxa"/>
            <w:tcMar>
              <w:top w:w="0" w:type="dxa"/>
              <w:left w:w="0" w:type="dxa"/>
              <w:bottom w:w="0" w:type="dxa"/>
              <w:right w:w="113" w:type="dxa"/>
            </w:tcMar>
            <w:hideMark/>
          </w:tcPr>
          <w:p w14:paraId="29EB845C" w14:textId="77777777" w:rsidR="007E0EE7" w:rsidRPr="007E0EE7" w:rsidRDefault="007E0EE7" w:rsidP="007E0EE7">
            <w:r w:rsidRPr="007E0EE7">
              <w:rPr>
                <w:lang w:val="en-US"/>
              </w:rPr>
              <w:t> </w:t>
            </w:r>
          </w:p>
        </w:tc>
      </w:tr>
      <w:tr w:rsidR="007E0EE7" w:rsidRPr="007E0EE7" w14:paraId="67A29FF1" w14:textId="77777777" w:rsidTr="007E0EE7">
        <w:trPr>
          <w:trHeight w:val="300"/>
        </w:trPr>
        <w:tc>
          <w:tcPr>
            <w:tcW w:w="9356" w:type="dxa"/>
            <w:gridSpan w:val="2"/>
            <w:tcMar>
              <w:top w:w="0" w:type="dxa"/>
              <w:left w:w="0" w:type="dxa"/>
              <w:bottom w:w="0" w:type="dxa"/>
              <w:right w:w="113" w:type="dxa"/>
            </w:tcMar>
            <w:hideMark/>
          </w:tcPr>
          <w:p w14:paraId="2D0D05C2" w14:textId="77777777" w:rsidR="007E0EE7" w:rsidRPr="007E0EE7" w:rsidRDefault="007E0EE7" w:rsidP="007E0EE7">
            <w:r w:rsidRPr="007E0EE7">
              <w:rPr>
                <w:lang w:val="en-US"/>
              </w:rPr>
              <w:t xml:space="preserve">Find out what level of service you are entitled to receive by viewing our </w:t>
            </w:r>
            <w:hyperlink r:id="rId11" w:history="1">
              <w:r w:rsidRPr="007E0EE7">
                <w:rPr>
                  <w:rStyle w:val="Hyperlink"/>
                  <w:lang w:val="en-US"/>
                </w:rPr>
                <w:t>Service Standards</w:t>
              </w:r>
            </w:hyperlink>
          </w:p>
        </w:tc>
      </w:tr>
    </w:tbl>
    <w:p w14:paraId="64DED0CB" w14:textId="77777777" w:rsidR="007E0EE7" w:rsidRPr="007E0EE7" w:rsidRDefault="007E0EE7" w:rsidP="007E0EE7">
      <w:r w:rsidRPr="007E0EE7">
        <w:t> </w:t>
      </w:r>
    </w:p>
    <w:p w14:paraId="52FCD955" w14:textId="77777777" w:rsidR="007E0EE7" w:rsidRPr="007E0EE7" w:rsidRDefault="007E0EE7" w:rsidP="007E0EE7">
      <w:r w:rsidRPr="007E0EE7">
        <w:t> </w:t>
      </w:r>
    </w:p>
    <w:p w14:paraId="492A66B3" w14:textId="77777777" w:rsidR="007E0EE7" w:rsidRPr="007E0EE7" w:rsidRDefault="007E0EE7" w:rsidP="007E0EE7">
      <w:r w:rsidRPr="007E0EE7">
        <w:t>  This email and any files transmitted with it are confidential and</w:t>
      </w:r>
    </w:p>
    <w:p w14:paraId="7AB2AC2D" w14:textId="77777777" w:rsidR="007E0EE7" w:rsidRPr="007E0EE7" w:rsidRDefault="007E0EE7" w:rsidP="007E0EE7">
      <w:r w:rsidRPr="007E0EE7">
        <w:t>intended solely for the use of the individual or entity to whom</w:t>
      </w:r>
    </w:p>
    <w:p w14:paraId="338441AB" w14:textId="77777777" w:rsidR="007E0EE7" w:rsidRPr="007E0EE7" w:rsidRDefault="007E0EE7" w:rsidP="007E0EE7">
      <w:r w:rsidRPr="007E0EE7">
        <w:t>they are addressed.</w:t>
      </w:r>
    </w:p>
    <w:p w14:paraId="73D818C1" w14:textId="77777777" w:rsidR="007E0EE7" w:rsidRPr="007E0EE7" w:rsidRDefault="007E0EE7" w:rsidP="007E0EE7">
      <w:r w:rsidRPr="007E0EE7">
        <w:t>If you have received this email in error please notify the</w:t>
      </w:r>
    </w:p>
    <w:p w14:paraId="443AA9EF" w14:textId="77777777" w:rsidR="007E0EE7" w:rsidRPr="007E0EE7" w:rsidRDefault="007E0EE7" w:rsidP="007E0EE7">
      <w:r w:rsidRPr="007E0EE7">
        <w:t>originator of the message. This footer also confirms that this</w:t>
      </w:r>
    </w:p>
    <w:p w14:paraId="19961F8D" w14:textId="77777777" w:rsidR="007E0EE7" w:rsidRPr="007E0EE7" w:rsidRDefault="007E0EE7" w:rsidP="007E0EE7">
      <w:r w:rsidRPr="007E0EE7">
        <w:t>email message has been scanned for the presence of computer viruses.</w:t>
      </w:r>
    </w:p>
    <w:p w14:paraId="2F452304" w14:textId="77777777" w:rsidR="007E0EE7" w:rsidRPr="007E0EE7" w:rsidRDefault="007E0EE7" w:rsidP="007E0EE7"/>
    <w:p w14:paraId="0A5D0C2D" w14:textId="77777777" w:rsidR="007E0EE7" w:rsidRPr="007E0EE7" w:rsidRDefault="007E0EE7" w:rsidP="007E0EE7">
      <w:r w:rsidRPr="007E0EE7">
        <w:t>Any views expressed in this message are those of the individual</w:t>
      </w:r>
    </w:p>
    <w:p w14:paraId="2EA8C4E9" w14:textId="77777777" w:rsidR="007E0EE7" w:rsidRPr="007E0EE7" w:rsidRDefault="007E0EE7" w:rsidP="007E0EE7">
      <w:r w:rsidRPr="007E0EE7">
        <w:t>sender, except where the sender specifies and with authority,</w:t>
      </w:r>
    </w:p>
    <w:p w14:paraId="1B96D8B7" w14:textId="77777777" w:rsidR="007E0EE7" w:rsidRPr="007E0EE7" w:rsidRDefault="007E0EE7" w:rsidP="007E0EE7">
      <w:r w:rsidRPr="007E0EE7">
        <w:t>states them to be the views of Blaby District Council.</w:t>
      </w:r>
    </w:p>
    <w:p w14:paraId="0504B58F" w14:textId="77777777" w:rsidR="007E0EE7" w:rsidRPr="007E0EE7" w:rsidRDefault="007E0EE7" w:rsidP="007E0EE7"/>
    <w:p w14:paraId="20B5D098" w14:textId="77777777" w:rsidR="007E0EE7" w:rsidRPr="007E0EE7" w:rsidRDefault="007E0EE7" w:rsidP="007E0EE7">
      <w:r w:rsidRPr="007E0EE7">
        <w:t>Scanning of this message and addition of this footer is performed</w:t>
      </w:r>
    </w:p>
    <w:p w14:paraId="7A10200C" w14:textId="77777777" w:rsidR="007E0EE7" w:rsidRPr="007E0EE7" w:rsidRDefault="007E0EE7" w:rsidP="007E0EE7">
      <w:r w:rsidRPr="007E0EE7">
        <w:t>by Sophos Email Security software in conjunction with </w:t>
      </w:r>
    </w:p>
    <w:p w14:paraId="57AA5B7A" w14:textId="77777777" w:rsidR="007E0EE7" w:rsidRPr="007E0EE7" w:rsidRDefault="007E0EE7" w:rsidP="007E0EE7">
      <w:r w:rsidRPr="007E0EE7">
        <w:t>virus detection software.</w:t>
      </w:r>
    </w:p>
    <w:p w14:paraId="3D843F8C" w14:textId="77777777" w:rsidR="007E0EE7" w:rsidRPr="007E0EE7" w:rsidRDefault="007E0EE7" w:rsidP="007E0EE7"/>
    <w:p w14:paraId="1586AABD" w14:textId="77777777" w:rsidR="007E0EE7" w:rsidRPr="007E0EE7" w:rsidRDefault="007E0EE7" w:rsidP="007E0EE7">
      <w:r w:rsidRPr="007E0EE7">
        <w:t xml:space="preserve">Blaby District Council, 0116 275 0555, </w:t>
      </w:r>
      <w:hyperlink r:id="rId12" w:history="1">
        <w:r w:rsidRPr="007E0EE7">
          <w:rPr>
            <w:rStyle w:val="Hyperlink"/>
          </w:rPr>
          <w:t>www.blaby.gov.uk</w:t>
        </w:r>
      </w:hyperlink>
    </w:p>
    <w:p w14:paraId="6A50D612" w14:textId="77777777" w:rsidR="007E0EE7" w:rsidRPr="007E0EE7" w:rsidRDefault="007E0EE7" w:rsidP="007E0EE7">
      <w:r w:rsidRPr="007E0EE7">
        <w:t>**********************************************************************</w:t>
      </w:r>
    </w:p>
    <w:p w14:paraId="5247A866"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E7"/>
    <w:rsid w:val="001B628D"/>
    <w:rsid w:val="001F6461"/>
    <w:rsid w:val="007E0EE7"/>
    <w:rsid w:val="00A53816"/>
    <w:rsid w:val="00C5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93D5"/>
  <w15:chartTrackingRefBased/>
  <w15:docId w15:val="{ADA5DFB5-54CE-4C65-889A-BDC205AF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E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E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E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E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EE7"/>
    <w:rPr>
      <w:rFonts w:eastAsiaTheme="majorEastAsia" w:cstheme="majorBidi"/>
      <w:color w:val="272727" w:themeColor="text1" w:themeTint="D8"/>
    </w:rPr>
  </w:style>
  <w:style w:type="paragraph" w:styleId="Title">
    <w:name w:val="Title"/>
    <w:basedOn w:val="Normal"/>
    <w:next w:val="Normal"/>
    <w:link w:val="TitleChar"/>
    <w:uiPriority w:val="10"/>
    <w:qFormat/>
    <w:rsid w:val="007E0E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E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E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0EE7"/>
    <w:rPr>
      <w:i/>
      <w:iCs/>
      <w:color w:val="404040" w:themeColor="text1" w:themeTint="BF"/>
    </w:rPr>
  </w:style>
  <w:style w:type="paragraph" w:styleId="ListParagraph">
    <w:name w:val="List Paragraph"/>
    <w:basedOn w:val="Normal"/>
    <w:uiPriority w:val="34"/>
    <w:qFormat/>
    <w:rsid w:val="007E0EE7"/>
    <w:pPr>
      <w:ind w:left="720"/>
      <w:contextualSpacing/>
    </w:pPr>
  </w:style>
  <w:style w:type="character" w:styleId="IntenseEmphasis">
    <w:name w:val="Intense Emphasis"/>
    <w:basedOn w:val="DefaultParagraphFont"/>
    <w:uiPriority w:val="21"/>
    <w:qFormat/>
    <w:rsid w:val="007E0EE7"/>
    <w:rPr>
      <w:i/>
      <w:iCs/>
      <w:color w:val="0F4761" w:themeColor="accent1" w:themeShade="BF"/>
    </w:rPr>
  </w:style>
  <w:style w:type="paragraph" w:styleId="IntenseQuote">
    <w:name w:val="Intense Quote"/>
    <w:basedOn w:val="Normal"/>
    <w:next w:val="Normal"/>
    <w:link w:val="IntenseQuoteChar"/>
    <w:uiPriority w:val="30"/>
    <w:qFormat/>
    <w:rsid w:val="007E0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EE7"/>
    <w:rPr>
      <w:i/>
      <w:iCs/>
      <w:color w:val="0F4761" w:themeColor="accent1" w:themeShade="BF"/>
    </w:rPr>
  </w:style>
  <w:style w:type="character" w:styleId="IntenseReference">
    <w:name w:val="Intense Reference"/>
    <w:basedOn w:val="DefaultParagraphFont"/>
    <w:uiPriority w:val="32"/>
    <w:qFormat/>
    <w:rsid w:val="007E0EE7"/>
    <w:rPr>
      <w:b/>
      <w:bCs/>
      <w:smallCaps/>
      <w:color w:val="0F4761" w:themeColor="accent1" w:themeShade="BF"/>
      <w:spacing w:val="5"/>
    </w:rPr>
  </w:style>
  <w:style w:type="character" w:styleId="Hyperlink">
    <w:name w:val="Hyperlink"/>
    <w:basedOn w:val="DefaultParagraphFont"/>
    <w:uiPriority w:val="99"/>
    <w:unhideWhenUsed/>
    <w:rsid w:val="007E0EE7"/>
    <w:rPr>
      <w:color w:val="467886" w:themeColor="hyperlink"/>
      <w:u w:val="single"/>
    </w:rPr>
  </w:style>
  <w:style w:type="character" w:styleId="UnresolvedMention">
    <w:name w:val="Unresolved Mention"/>
    <w:basedOn w:val="DefaultParagraphFont"/>
    <w:uiPriority w:val="99"/>
    <w:semiHidden/>
    <w:unhideWhenUsed/>
    <w:rsid w:val="007E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1399">
      <w:bodyDiv w:val="1"/>
      <w:marLeft w:val="0"/>
      <w:marRight w:val="0"/>
      <w:marTop w:val="0"/>
      <w:marBottom w:val="0"/>
      <w:divBdr>
        <w:top w:val="none" w:sz="0" w:space="0" w:color="auto"/>
        <w:left w:val="none" w:sz="0" w:space="0" w:color="auto"/>
        <w:bottom w:val="none" w:sz="0" w:space="0" w:color="auto"/>
        <w:right w:val="none" w:sz="0" w:space="0" w:color="auto"/>
      </w:divBdr>
    </w:div>
    <w:div w:id="13892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by.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en.almond@blaby.gov.uk" TargetMode="External"/><Relationship Id="rId12" Type="http://schemas.openxmlformats.org/officeDocument/2006/relationships/hyperlink" Target="http://www.blab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B8134.AEE0C450" TargetMode="External"/><Relationship Id="rId11" Type="http://schemas.openxmlformats.org/officeDocument/2006/relationships/hyperlink" Target="https://www.blaby.gov.uk/about-the-council/service-standards/customer-service-standards/" TargetMode="External"/><Relationship Id="rId5" Type="http://schemas.openxmlformats.org/officeDocument/2006/relationships/image" Target="media/image1.png"/><Relationship Id="rId10" Type="http://schemas.openxmlformats.org/officeDocument/2006/relationships/hyperlink" Target="https://www.facebook.com/blabydc" TargetMode="External"/><Relationship Id="rId4" Type="http://schemas.openxmlformats.org/officeDocument/2006/relationships/hyperlink" Target="https://www.blaby.gov.uk/environmental-issue/waste-and-environment/blaby-switch-and-save/" TargetMode="External"/><Relationship Id="rId9" Type="http://schemas.openxmlformats.org/officeDocument/2006/relationships/hyperlink" Target="https://www.blaby.gov.uk/sign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2025-02-18T09:39:00Z</dcterms:created>
  <dcterms:modified xsi:type="dcterms:W3CDTF">2025-02-18T09:39:00Z</dcterms:modified>
</cp:coreProperties>
</file>